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E28BE" w14:textId="5E18E769" w:rsidR="00E203C2" w:rsidRDefault="00E203C2" w:rsidP="00E203C2">
      <w:r>
        <w:rPr>
          <w:noProof/>
          <w:lang w:eastAsia="en-GB" w:bidi="ar-SA"/>
        </w:rPr>
        <w:drawing>
          <wp:inline distT="0" distB="0" distL="0" distR="0" wp14:anchorId="4098C8A5" wp14:editId="7C72A2B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1CDF1B6" w14:textId="77777777" w:rsidR="00E203C2" w:rsidRDefault="00E203C2" w:rsidP="00E203C2"/>
    <w:p w14:paraId="030DEA47" w14:textId="77777777" w:rsidR="00F00CC7" w:rsidRPr="00F00CC7" w:rsidRDefault="00F00CC7" w:rsidP="00F00CC7">
      <w:pPr>
        <w:pStyle w:val="FSTitle"/>
        <w:rPr>
          <w:rFonts w:cs="Times New Roman"/>
          <w:b/>
          <w:bCs w:val="0"/>
          <w:sz w:val="28"/>
          <w:szCs w:val="28"/>
        </w:rPr>
      </w:pPr>
      <w:r w:rsidRPr="00F00CC7">
        <w:rPr>
          <w:rFonts w:cs="Times New Roman"/>
          <w:b/>
          <w:bCs w:val="0"/>
          <w:sz w:val="28"/>
          <w:szCs w:val="28"/>
        </w:rPr>
        <w:t>27 April 2022</w:t>
      </w:r>
    </w:p>
    <w:p w14:paraId="104497A2" w14:textId="47E15200" w:rsidR="0057615C" w:rsidRPr="00F00CC7" w:rsidRDefault="00F00CC7" w:rsidP="00F00CC7">
      <w:pPr>
        <w:pStyle w:val="FSTitle"/>
        <w:rPr>
          <w:b/>
          <w:sz w:val="22"/>
        </w:rPr>
      </w:pPr>
      <w:r w:rsidRPr="00F00CC7">
        <w:rPr>
          <w:rFonts w:cs="Times New Roman"/>
          <w:b/>
          <w:bCs w:val="0"/>
          <w:sz w:val="28"/>
          <w:szCs w:val="28"/>
        </w:rPr>
        <w:t>197-22</w:t>
      </w:r>
    </w:p>
    <w:p w14:paraId="3279E98F" w14:textId="72C627AD" w:rsidR="00092CDA" w:rsidRPr="00C02E56" w:rsidRDefault="00092CDA" w:rsidP="00690206">
      <w:pPr>
        <w:pStyle w:val="FSTitle"/>
        <w:rPr>
          <w:b/>
        </w:rPr>
      </w:pPr>
      <w:r w:rsidRPr="00C02E56">
        <w:rPr>
          <w:b/>
        </w:rPr>
        <w:t>S</w:t>
      </w:r>
      <w:r w:rsidR="00B12F1E" w:rsidRPr="00C02E56">
        <w:rPr>
          <w:b/>
        </w:rPr>
        <w:t>upporting document</w:t>
      </w:r>
      <w:r w:rsidRPr="00C02E56">
        <w:rPr>
          <w:b/>
        </w:rPr>
        <w:t xml:space="preserve"> </w:t>
      </w:r>
      <w:r w:rsidR="00C02E56" w:rsidRPr="00C02E56">
        <w:rPr>
          <w:b/>
        </w:rPr>
        <w:t>1</w:t>
      </w:r>
    </w:p>
    <w:p w14:paraId="0A01E646" w14:textId="77777777" w:rsidR="00BA24E2" w:rsidRPr="00C02E56" w:rsidRDefault="00BA24E2" w:rsidP="00E203C2"/>
    <w:p w14:paraId="05EBBE4F" w14:textId="367BF4C9" w:rsidR="00D056F1" w:rsidRPr="00C02E56" w:rsidRDefault="00320839" w:rsidP="00690206">
      <w:pPr>
        <w:pStyle w:val="FSTitle"/>
      </w:pPr>
      <w:r w:rsidRPr="00C02E56">
        <w:t xml:space="preserve">Risk </w:t>
      </w:r>
      <w:r w:rsidR="006E0980" w:rsidRPr="00C02E56">
        <w:t xml:space="preserve">and technical </w:t>
      </w:r>
      <w:r w:rsidRPr="00C02E56">
        <w:t>assessment</w:t>
      </w:r>
      <w:r w:rsidR="006B5EBE" w:rsidRPr="00C02E56">
        <w:t xml:space="preserve"> – </w:t>
      </w:r>
      <w:r w:rsidR="00D056F1" w:rsidRPr="00C02E56">
        <w:t>A</w:t>
      </w:r>
      <w:r w:rsidR="00B12F1E" w:rsidRPr="00C02E56">
        <w:t>pplication</w:t>
      </w:r>
      <w:r w:rsidR="006E0980" w:rsidRPr="00C02E56">
        <w:t xml:space="preserve"> A1238</w:t>
      </w:r>
    </w:p>
    <w:p w14:paraId="3AB61423" w14:textId="77777777" w:rsidR="006E0980" w:rsidRPr="00C02E56" w:rsidRDefault="006E0980" w:rsidP="00E203C2">
      <w:pPr>
        <w:pBdr>
          <w:bottom w:val="single" w:sz="12" w:space="1" w:color="auto"/>
        </w:pBdr>
        <w:spacing w:line="280" w:lineRule="exact"/>
        <w:rPr>
          <w:rFonts w:cs="Tahoma"/>
          <w:bCs/>
          <w:iCs/>
          <w:sz w:val="32"/>
        </w:rPr>
      </w:pPr>
    </w:p>
    <w:p w14:paraId="3FC2B482" w14:textId="14406730" w:rsidR="00E203C2" w:rsidRPr="00C02E56" w:rsidRDefault="006E0980" w:rsidP="00E203C2">
      <w:pPr>
        <w:pBdr>
          <w:bottom w:val="single" w:sz="12" w:space="1" w:color="auto"/>
        </w:pBdr>
        <w:spacing w:line="280" w:lineRule="exact"/>
        <w:rPr>
          <w:rFonts w:cs="Arial"/>
          <w:bCs/>
        </w:rPr>
      </w:pPr>
      <w:r w:rsidRPr="00C02E56">
        <w:rPr>
          <w:rFonts w:cs="Tahoma"/>
          <w:bCs/>
          <w:iCs/>
          <w:sz w:val="32"/>
        </w:rPr>
        <w:t xml:space="preserve">Serine endopeptidase enzyme from GM </w:t>
      </w:r>
      <w:r w:rsidRPr="00C02E56">
        <w:rPr>
          <w:rFonts w:cs="Tahoma"/>
          <w:bCs/>
          <w:i/>
          <w:iCs/>
          <w:sz w:val="32"/>
        </w:rPr>
        <w:t>Trichoderma reesei</w:t>
      </w:r>
    </w:p>
    <w:p w14:paraId="2B93C727" w14:textId="77777777" w:rsidR="00E203C2" w:rsidRPr="00B37BF0" w:rsidRDefault="00E203C2" w:rsidP="00E203C2"/>
    <w:p w14:paraId="5F4BFA88" w14:textId="77777777" w:rsidR="00092CDA" w:rsidRPr="00092CDA" w:rsidRDefault="00092CDA" w:rsidP="00352CF2">
      <w:pPr>
        <w:pStyle w:val="Heading1"/>
        <w:spacing w:before="0"/>
      </w:pPr>
      <w:bookmarkStart w:id="0" w:name="_Toc286391001"/>
      <w:bookmarkStart w:id="1" w:name="_Toc300933414"/>
      <w:bookmarkStart w:id="2" w:name="_Toc97107419"/>
      <w:bookmarkStart w:id="3" w:name="_Toc453078193"/>
      <w:bookmarkStart w:id="4" w:name="_Toc90388632"/>
      <w:bookmarkStart w:id="5" w:name="_Toc90388706"/>
      <w:bookmarkStart w:id="6" w:name="_Toc101521514"/>
      <w:r w:rsidRPr="00092CDA">
        <w:t xml:space="preserve">Executive </w:t>
      </w:r>
      <w:r w:rsidR="00B12F1E">
        <w:t>s</w:t>
      </w:r>
      <w:r w:rsidRPr="00092CDA">
        <w:t>ummary</w:t>
      </w:r>
      <w:bookmarkEnd w:id="0"/>
      <w:bookmarkEnd w:id="1"/>
      <w:bookmarkEnd w:id="2"/>
      <w:bookmarkEnd w:id="3"/>
      <w:bookmarkEnd w:id="4"/>
      <w:bookmarkEnd w:id="5"/>
      <w:bookmarkEnd w:id="6"/>
    </w:p>
    <w:p w14:paraId="1C7B2B3C" w14:textId="5CFF88CF" w:rsidR="00EB3A06" w:rsidRPr="00EB3A06" w:rsidRDefault="00EB3A06" w:rsidP="00EB3A06">
      <w:pPr>
        <w:pStyle w:val="Default"/>
        <w:rPr>
          <w:rFonts w:ascii="Arial" w:hAnsi="Arial" w:cs="Arial"/>
          <w:color w:val="auto"/>
          <w:sz w:val="22"/>
          <w:szCs w:val="22"/>
        </w:rPr>
      </w:pPr>
      <w:r w:rsidRPr="00EB3A06">
        <w:rPr>
          <w:rFonts w:ascii="Arial" w:hAnsi="Arial" w:cs="Arial"/>
          <w:color w:val="auto"/>
          <w:sz w:val="22"/>
          <w:szCs w:val="22"/>
          <w:lang w:val="en-AU"/>
        </w:rPr>
        <w:t>AB Enzymes applied to Food Standards Australia New Zealand (FSANZ) to amend Schedule 18 – Processing Aids of the Australia New Zealand Food Standa</w:t>
      </w:r>
      <w:r w:rsidR="00F77087">
        <w:rPr>
          <w:rFonts w:ascii="Arial" w:hAnsi="Arial" w:cs="Arial"/>
          <w:color w:val="auto"/>
          <w:sz w:val="22"/>
          <w:szCs w:val="22"/>
          <w:lang w:val="en-AU"/>
        </w:rPr>
        <w:t>rds Code (the Code) to include t</w:t>
      </w:r>
      <w:r w:rsidRPr="00EB3A06">
        <w:rPr>
          <w:rFonts w:ascii="Arial" w:hAnsi="Arial" w:cs="Arial"/>
          <w:color w:val="auto"/>
          <w:sz w:val="22"/>
          <w:szCs w:val="22"/>
          <w:lang w:val="en-AU"/>
        </w:rPr>
        <w:t>hermomycolin (EC 3.4.21.65), a protease</w:t>
      </w:r>
      <w:r w:rsidR="00C84066">
        <w:rPr>
          <w:rFonts w:ascii="Arial" w:hAnsi="Arial" w:cs="Arial"/>
          <w:color w:val="auto"/>
          <w:sz w:val="22"/>
          <w:szCs w:val="22"/>
          <w:lang w:val="en-AU"/>
        </w:rPr>
        <w:t xml:space="preserve"> </w:t>
      </w:r>
      <w:r w:rsidRPr="00EB3A06">
        <w:rPr>
          <w:rFonts w:ascii="Arial" w:hAnsi="Arial" w:cs="Arial"/>
          <w:color w:val="auto"/>
          <w:sz w:val="22"/>
          <w:szCs w:val="22"/>
          <w:lang w:val="en-AU"/>
        </w:rPr>
        <w:t>of the serine endopeptidases</w:t>
      </w:r>
      <w:r w:rsidR="008F60A0">
        <w:rPr>
          <w:rFonts w:ascii="Arial" w:hAnsi="Arial" w:cs="Arial"/>
          <w:color w:val="auto"/>
          <w:sz w:val="22"/>
          <w:szCs w:val="22"/>
          <w:lang w:val="en-AU"/>
        </w:rPr>
        <w:t xml:space="preserve"> class</w:t>
      </w:r>
      <w:r w:rsidRPr="00EB3A06">
        <w:rPr>
          <w:rFonts w:ascii="Arial" w:hAnsi="Arial" w:cs="Arial"/>
          <w:color w:val="auto"/>
          <w:sz w:val="22"/>
          <w:szCs w:val="22"/>
          <w:lang w:val="en-AU"/>
        </w:rPr>
        <w:t xml:space="preserve">, as a processing aid. </w:t>
      </w:r>
      <w:r w:rsidR="00764713">
        <w:rPr>
          <w:rFonts w:ascii="Arial" w:hAnsi="Arial" w:cs="Arial"/>
          <w:color w:val="auto"/>
          <w:sz w:val="22"/>
          <w:szCs w:val="22"/>
          <w:lang w:val="en-AU"/>
        </w:rPr>
        <w:t xml:space="preserve">It is </w:t>
      </w:r>
      <w:r w:rsidRPr="00EB3A06">
        <w:rPr>
          <w:rFonts w:ascii="Arial" w:eastAsia="Calibri" w:hAnsi="Arial" w:cs="Arial"/>
          <w:color w:val="auto"/>
          <w:sz w:val="22"/>
          <w:szCs w:val="22"/>
          <w:lang w:eastAsia="en-AU"/>
        </w:rPr>
        <w:t xml:space="preserve">produced from </w:t>
      </w:r>
      <w:r w:rsidRPr="00EB3A06">
        <w:rPr>
          <w:rFonts w:ascii="Arial" w:hAnsi="Arial" w:cs="Arial"/>
          <w:color w:val="auto"/>
          <w:sz w:val="22"/>
          <w:szCs w:val="22"/>
        </w:rPr>
        <w:t>a genetically modified (GM) strain</w:t>
      </w:r>
      <w:r w:rsidRPr="00EB3A06" w:rsidDel="00AB3162">
        <w:rPr>
          <w:rFonts w:ascii="Arial" w:eastAsia="Calibri" w:hAnsi="Arial" w:cs="Arial"/>
          <w:color w:val="auto"/>
          <w:sz w:val="22"/>
          <w:szCs w:val="22"/>
          <w:lang w:eastAsia="en-AU"/>
        </w:rPr>
        <w:t xml:space="preserve"> </w:t>
      </w:r>
      <w:r w:rsidRPr="00EB3A06">
        <w:rPr>
          <w:rFonts w:ascii="Arial" w:eastAsia="Calibri" w:hAnsi="Arial" w:cs="Arial"/>
          <w:color w:val="auto"/>
          <w:sz w:val="22"/>
          <w:szCs w:val="22"/>
          <w:lang w:eastAsia="en-AU"/>
        </w:rPr>
        <w:t xml:space="preserve">of </w:t>
      </w:r>
      <w:r w:rsidRPr="00EB3A06">
        <w:rPr>
          <w:rFonts w:ascii="Arial" w:eastAsia="Calibri" w:hAnsi="Arial" w:cs="Arial"/>
          <w:i/>
          <w:iCs/>
          <w:color w:val="auto"/>
          <w:sz w:val="22"/>
          <w:szCs w:val="22"/>
          <w:lang w:eastAsia="en-AU"/>
        </w:rPr>
        <w:t>Trichoderma reesei</w:t>
      </w:r>
      <w:r w:rsidRPr="00EB3A06">
        <w:rPr>
          <w:rFonts w:ascii="Arial" w:hAnsi="Arial" w:cs="Arial"/>
          <w:color w:val="auto"/>
          <w:sz w:val="22"/>
          <w:szCs w:val="22"/>
        </w:rPr>
        <w:t xml:space="preserve"> containing the </w:t>
      </w:r>
      <w:r w:rsidR="00AF7946">
        <w:rPr>
          <w:rFonts w:ascii="Arial" w:hAnsi="Arial" w:cs="Arial"/>
          <w:color w:val="auto"/>
          <w:sz w:val="22"/>
          <w:szCs w:val="22"/>
        </w:rPr>
        <w:t>thermomycolin gene</w:t>
      </w:r>
      <w:r w:rsidRPr="00EB3A06">
        <w:rPr>
          <w:rFonts w:ascii="Arial" w:hAnsi="Arial" w:cs="Arial"/>
          <w:color w:val="auto"/>
          <w:sz w:val="22"/>
          <w:szCs w:val="22"/>
        </w:rPr>
        <w:t xml:space="preserve"> from </w:t>
      </w:r>
      <w:r w:rsidRPr="00EB3A06">
        <w:rPr>
          <w:rFonts w:ascii="Arial" w:hAnsi="Arial" w:cs="Arial"/>
          <w:i/>
          <w:color w:val="auto"/>
          <w:sz w:val="22"/>
          <w:szCs w:val="22"/>
        </w:rPr>
        <w:t xml:space="preserve">Malbranchea cinnamomea. </w:t>
      </w:r>
      <w:r w:rsidRPr="00EB3A06">
        <w:rPr>
          <w:rFonts w:ascii="Arial" w:hAnsi="Arial" w:cs="Arial"/>
          <w:color w:val="auto"/>
          <w:sz w:val="22"/>
          <w:szCs w:val="22"/>
        </w:rPr>
        <w:t xml:space="preserve">The specific name for the production organism is </w:t>
      </w:r>
      <w:r w:rsidRPr="00EB3A06">
        <w:rPr>
          <w:rFonts w:ascii="Arial" w:hAnsi="Arial" w:cs="Arial"/>
          <w:i/>
          <w:color w:val="auto"/>
          <w:sz w:val="22"/>
          <w:szCs w:val="22"/>
        </w:rPr>
        <w:t>T</w:t>
      </w:r>
      <w:r w:rsidRPr="00EB3A06">
        <w:rPr>
          <w:rFonts w:ascii="Arial" w:hAnsi="Arial" w:cs="Arial"/>
          <w:color w:val="auto"/>
          <w:sz w:val="22"/>
          <w:szCs w:val="22"/>
        </w:rPr>
        <w:t xml:space="preserve">. </w:t>
      </w:r>
      <w:r w:rsidRPr="00EB3A06">
        <w:rPr>
          <w:rFonts w:ascii="Arial" w:hAnsi="Arial" w:cs="Arial"/>
          <w:i/>
          <w:color w:val="auto"/>
          <w:sz w:val="22"/>
          <w:szCs w:val="22"/>
        </w:rPr>
        <w:t>reesei</w:t>
      </w:r>
      <w:r w:rsidRPr="00EB3A06">
        <w:rPr>
          <w:rFonts w:ascii="Arial" w:hAnsi="Arial" w:cs="Arial"/>
          <w:color w:val="auto"/>
          <w:sz w:val="22"/>
          <w:szCs w:val="22"/>
        </w:rPr>
        <w:t xml:space="preserve"> RF8963. </w:t>
      </w:r>
      <w:r w:rsidR="00F77087">
        <w:rPr>
          <w:rFonts w:ascii="Arial" w:hAnsi="Arial" w:cs="Arial"/>
          <w:color w:val="auto"/>
          <w:sz w:val="22"/>
          <w:szCs w:val="22"/>
          <w:lang w:val="en-AU"/>
        </w:rPr>
        <w:t>The proposed use of t</w:t>
      </w:r>
      <w:r w:rsidRPr="00EB3A06">
        <w:rPr>
          <w:rFonts w:ascii="Arial" w:hAnsi="Arial" w:cs="Arial"/>
          <w:color w:val="auto"/>
          <w:sz w:val="22"/>
          <w:szCs w:val="22"/>
          <w:lang w:val="en-AU"/>
        </w:rPr>
        <w:t xml:space="preserve">hermomycolin is as a processing aid in </w:t>
      </w:r>
      <w:r w:rsidRPr="00EB3A06">
        <w:rPr>
          <w:rFonts w:ascii="Arial" w:hAnsi="Arial" w:cs="Arial"/>
          <w:color w:val="auto"/>
          <w:sz w:val="22"/>
          <w:szCs w:val="22"/>
        </w:rPr>
        <w:t xml:space="preserve">the manufacture of meat, vegetable and seafood products. </w:t>
      </w:r>
    </w:p>
    <w:p w14:paraId="6EE3F9A3" w14:textId="6B022B17" w:rsidR="00AF7946" w:rsidRPr="00D44D29" w:rsidRDefault="00AF7946" w:rsidP="00EB3A06">
      <w:pPr>
        <w:rPr>
          <w:rFonts w:cs="Arial"/>
          <w:szCs w:val="22"/>
          <w:lang w:val="en-AU"/>
        </w:rPr>
      </w:pPr>
      <w:bookmarkStart w:id="7" w:name="_GoBack"/>
      <w:bookmarkEnd w:id="7"/>
    </w:p>
    <w:p w14:paraId="49DE9062" w14:textId="77777777" w:rsidR="00EB3A06" w:rsidRPr="00EB3A06" w:rsidRDefault="00EB3A06" w:rsidP="00EB3A06">
      <w:pPr>
        <w:rPr>
          <w:rFonts w:cs="Arial"/>
          <w:szCs w:val="22"/>
          <w:lang w:val="en-AU"/>
        </w:rPr>
      </w:pPr>
      <w:r w:rsidRPr="00EB3A06">
        <w:rPr>
          <w:rFonts w:cs="Arial"/>
          <w:szCs w:val="22"/>
          <w:lang w:val="en-AU"/>
        </w:rPr>
        <w:t>FSANZ has undertaken an assessment to determine whether the enzyme achieves its technological purpose in the quantity and form proposed to be used and to evaluate public health and safety concerns that may arise from the use of this enzyme.</w:t>
      </w:r>
    </w:p>
    <w:p w14:paraId="7A55EE1E" w14:textId="77777777" w:rsidR="00EB3A06" w:rsidRPr="00D44D29" w:rsidRDefault="00EB3A06" w:rsidP="00EB3A06">
      <w:pPr>
        <w:rPr>
          <w:rFonts w:cs="Arial"/>
          <w:szCs w:val="22"/>
          <w:lang w:val="en-AU"/>
        </w:rPr>
      </w:pPr>
    </w:p>
    <w:p w14:paraId="4D9CF207" w14:textId="0C8D2244" w:rsidR="00EB3A06" w:rsidRPr="00D44D29" w:rsidRDefault="00EB3A06" w:rsidP="00EB3A06">
      <w:pPr>
        <w:rPr>
          <w:rFonts w:cs="Arial"/>
          <w:szCs w:val="22"/>
          <w:lang w:val="en-AU"/>
        </w:rPr>
      </w:pPr>
      <w:r w:rsidRPr="00EB3A06">
        <w:rPr>
          <w:rFonts w:cs="Arial"/>
          <w:szCs w:val="22"/>
          <w:lang w:val="en-AU"/>
        </w:rPr>
        <w:t>FSANZ conc</w:t>
      </w:r>
      <w:r w:rsidR="00F77087">
        <w:rPr>
          <w:rFonts w:cs="Arial"/>
          <w:szCs w:val="22"/>
          <w:lang w:val="en-AU"/>
        </w:rPr>
        <w:t>ludes that the proposed use of t</w:t>
      </w:r>
      <w:r w:rsidRPr="00EB3A06">
        <w:rPr>
          <w:rFonts w:cs="Arial"/>
          <w:szCs w:val="22"/>
          <w:lang w:val="en-AU"/>
        </w:rPr>
        <w:t xml:space="preserve">hermomycolin as an enzyme in the production of </w:t>
      </w:r>
      <w:r w:rsidRPr="00EB3A06">
        <w:rPr>
          <w:rFonts w:cs="Arial"/>
          <w:szCs w:val="22"/>
        </w:rPr>
        <w:t>meat, vegetable and seafood products</w:t>
      </w:r>
      <w:r w:rsidRPr="00EB3A06">
        <w:rPr>
          <w:rFonts w:cs="Arial"/>
          <w:szCs w:val="22"/>
          <w:lang w:val="en-AU"/>
        </w:rPr>
        <w:t xml:space="preserve"> is consistent with its typical function of </w:t>
      </w:r>
      <w:r w:rsidRPr="00EB3A06">
        <w:rPr>
          <w:rFonts w:cs="Arial"/>
          <w:szCs w:val="22"/>
        </w:rPr>
        <w:t>hydrolysing proteins in those foods</w:t>
      </w:r>
      <w:r w:rsidRPr="00EB3A06">
        <w:rPr>
          <w:rFonts w:cs="Arial"/>
          <w:szCs w:val="22"/>
          <w:lang w:val="en-AU"/>
        </w:rPr>
        <w:t xml:space="preserve">. Analysis of the evidence provides adequate assurance that the use of the enzyme, in the quantity and form proposed to be used </w:t>
      </w:r>
      <w:r w:rsidR="00C84066">
        <w:rPr>
          <w:rFonts w:cs="Arial"/>
          <w:szCs w:val="22"/>
          <w:lang w:val="en-AU"/>
        </w:rPr>
        <w:t xml:space="preserve">and </w:t>
      </w:r>
      <w:r w:rsidRPr="00EB3A06">
        <w:rPr>
          <w:rFonts w:cs="Arial"/>
          <w:szCs w:val="22"/>
          <w:lang w:val="en-AU"/>
        </w:rPr>
        <w:t>consistent with Good Manufacturing Practice (GMP) controls and processes, is technologically justified</w:t>
      </w:r>
      <w:r w:rsidRPr="00D44D29">
        <w:rPr>
          <w:rFonts w:cs="Arial"/>
          <w:szCs w:val="22"/>
          <w:lang w:val="en-AU"/>
        </w:rPr>
        <w:t>.</w:t>
      </w:r>
    </w:p>
    <w:p w14:paraId="18FDDD92" w14:textId="77777777" w:rsidR="00EB3A06" w:rsidRPr="00D44D29" w:rsidRDefault="00EB3A06" w:rsidP="00EB3A06">
      <w:pPr>
        <w:rPr>
          <w:lang w:val="en-AU"/>
        </w:rPr>
      </w:pPr>
    </w:p>
    <w:p w14:paraId="5E29FA83" w14:textId="2F81994A" w:rsidR="00EB3A06" w:rsidRPr="00EB3A06" w:rsidRDefault="00EB3A06" w:rsidP="00EB3A06">
      <w:pPr>
        <w:rPr>
          <w:lang w:val="en-AU"/>
        </w:rPr>
      </w:pPr>
      <w:r w:rsidRPr="00EB3A06">
        <w:rPr>
          <w:rFonts w:cs="Arial"/>
          <w:szCs w:val="22"/>
          <w:lang w:val="en-AU"/>
        </w:rPr>
        <w:t>Thermomycolin</w:t>
      </w:r>
      <w:r w:rsidRPr="00EB3A06">
        <w:rPr>
          <w:lang w:val="en-AU"/>
        </w:rPr>
        <w:t xml:space="preserve"> performs its technological purpose during the production of proteinaceous foods and is not performing a technological purpose in </w:t>
      </w:r>
      <w:r w:rsidRPr="00EB3A06">
        <w:rPr>
          <w:lang w:val="en-AU"/>
        </w:rPr>
        <w:lastRenderedPageBreak/>
        <w:t xml:space="preserve">the final food, therefore functioning as a processing aid as defined in the Code. There are relevant identity and purity specifications for the enzyme in the Code. </w:t>
      </w:r>
    </w:p>
    <w:p w14:paraId="0B7C5094" w14:textId="77777777" w:rsidR="00EB3A06" w:rsidRPr="00D44D29" w:rsidRDefault="00EB3A06" w:rsidP="00EB3A06">
      <w:pPr>
        <w:rPr>
          <w:lang w:val="en-AU"/>
        </w:rPr>
      </w:pPr>
    </w:p>
    <w:p w14:paraId="6930A08D" w14:textId="2B6DEF78" w:rsidR="00606D9E" w:rsidRPr="00606D9E" w:rsidRDefault="00606D9E" w:rsidP="00606D9E">
      <w:pPr>
        <w:rPr>
          <w:lang w:bidi="ar-SA"/>
        </w:rPr>
      </w:pPr>
      <w:r w:rsidRPr="00606D9E">
        <w:rPr>
          <w:lang w:bidi="ar-SA"/>
        </w:rPr>
        <w:t xml:space="preserve">No public health and safety concerns were identified in the assessment of thermomycolin from a modified strain of </w:t>
      </w:r>
      <w:r w:rsidRPr="00606D9E">
        <w:rPr>
          <w:i/>
          <w:lang w:bidi="ar-SA"/>
        </w:rPr>
        <w:t>T. reesei</w:t>
      </w:r>
      <w:r w:rsidRPr="00606D9E">
        <w:rPr>
          <w:lang w:bidi="ar-SA"/>
        </w:rPr>
        <w:t xml:space="preserve"> under the proposed use conditions.</w:t>
      </w:r>
    </w:p>
    <w:p w14:paraId="098C29AD" w14:textId="77777777" w:rsidR="00606D9E" w:rsidRPr="00606D9E" w:rsidRDefault="00606D9E" w:rsidP="00606D9E">
      <w:pPr>
        <w:rPr>
          <w:lang w:bidi="ar-SA"/>
        </w:rPr>
      </w:pPr>
    </w:p>
    <w:p w14:paraId="61278D44" w14:textId="77777777" w:rsidR="00606D9E" w:rsidRPr="00606D9E" w:rsidRDefault="00606D9E" w:rsidP="00606D9E">
      <w:pPr>
        <w:rPr>
          <w:lang w:bidi="ar-SA"/>
        </w:rPr>
      </w:pPr>
      <w:r w:rsidRPr="00606D9E">
        <w:rPr>
          <w:lang w:bidi="ar-SA"/>
        </w:rPr>
        <w:t>The host is neither pathogenic nor toxigenic and analysis of the modified production strain confirmed the presence and stability of the inserted DNA.</w:t>
      </w:r>
    </w:p>
    <w:p w14:paraId="4563451E" w14:textId="77777777" w:rsidR="00606D9E" w:rsidRPr="00606D9E" w:rsidRDefault="00606D9E" w:rsidP="00606D9E">
      <w:pPr>
        <w:rPr>
          <w:lang w:bidi="ar-SA"/>
        </w:rPr>
      </w:pPr>
    </w:p>
    <w:p w14:paraId="0C5F5A75" w14:textId="455D5013" w:rsidR="00606D9E" w:rsidRPr="00606D9E" w:rsidRDefault="00606D9E" w:rsidP="00606D9E">
      <w:pPr>
        <w:rPr>
          <w:lang w:bidi="ar-SA"/>
        </w:rPr>
      </w:pPr>
      <w:r w:rsidRPr="00606D9E">
        <w:rPr>
          <w:lang w:bidi="ar-SA"/>
        </w:rPr>
        <w:t xml:space="preserve">Toxicity testing of the enzyme showed no evidence of genotoxicity </w:t>
      </w:r>
      <w:r w:rsidRPr="00606D9E">
        <w:rPr>
          <w:i/>
          <w:lang w:bidi="ar-SA"/>
        </w:rPr>
        <w:t>in vitro</w:t>
      </w:r>
      <w:r w:rsidR="00C84066">
        <w:rPr>
          <w:i/>
          <w:lang w:bidi="ar-SA"/>
        </w:rPr>
        <w:t xml:space="preserve">. </w:t>
      </w:r>
      <w:r w:rsidR="00C84066">
        <w:rPr>
          <w:lang w:bidi="ar-SA"/>
        </w:rPr>
        <w:t>T</w:t>
      </w:r>
      <w:r w:rsidRPr="00606D9E">
        <w:rPr>
          <w:lang w:bidi="ar-SA"/>
        </w:rPr>
        <w:t xml:space="preserve">he </w:t>
      </w:r>
      <w:r w:rsidR="004F6C27">
        <w:rPr>
          <w:lang w:bidi="ar-SA"/>
        </w:rPr>
        <w:t>n</w:t>
      </w:r>
      <w:r w:rsidR="004F6C27" w:rsidRPr="00606D9E">
        <w:rPr>
          <w:lang w:bidi="ar-SA"/>
        </w:rPr>
        <w:t xml:space="preserve">o </w:t>
      </w:r>
      <w:r w:rsidR="004F6C27">
        <w:rPr>
          <w:lang w:bidi="ar-SA"/>
        </w:rPr>
        <w:t>o</w:t>
      </w:r>
      <w:r w:rsidR="004F6C27" w:rsidRPr="00606D9E">
        <w:rPr>
          <w:lang w:bidi="ar-SA"/>
        </w:rPr>
        <w:t xml:space="preserve">bserved </w:t>
      </w:r>
      <w:r w:rsidR="004F6C27">
        <w:rPr>
          <w:lang w:bidi="ar-SA"/>
        </w:rPr>
        <w:t>a</w:t>
      </w:r>
      <w:r w:rsidR="004F6C27" w:rsidRPr="00606D9E">
        <w:rPr>
          <w:lang w:bidi="ar-SA"/>
        </w:rPr>
        <w:t xml:space="preserve">dverse </w:t>
      </w:r>
      <w:r w:rsidR="004F6C27">
        <w:rPr>
          <w:lang w:bidi="ar-SA"/>
        </w:rPr>
        <w:t>e</w:t>
      </w:r>
      <w:r w:rsidR="004F6C27" w:rsidRPr="00606D9E">
        <w:rPr>
          <w:lang w:bidi="ar-SA"/>
        </w:rPr>
        <w:t xml:space="preserve">ffect </w:t>
      </w:r>
      <w:r w:rsidR="004F6C27">
        <w:rPr>
          <w:lang w:bidi="ar-SA"/>
        </w:rPr>
        <w:t>l</w:t>
      </w:r>
      <w:r w:rsidR="004F6C27" w:rsidRPr="00606D9E">
        <w:rPr>
          <w:lang w:bidi="ar-SA"/>
        </w:rPr>
        <w:t xml:space="preserve">evel </w:t>
      </w:r>
      <w:r w:rsidRPr="00606D9E">
        <w:rPr>
          <w:lang w:bidi="ar-SA"/>
        </w:rPr>
        <w:t>(NOAEL) in a 90-day ora</w:t>
      </w:r>
      <w:r>
        <w:rPr>
          <w:lang w:bidi="ar-SA"/>
        </w:rPr>
        <w:t>l gavage study in rats was 1000 </w:t>
      </w:r>
      <w:r w:rsidRPr="00606D9E">
        <w:rPr>
          <w:lang w:bidi="ar-SA"/>
        </w:rPr>
        <w:t xml:space="preserve">mg/kg bw/day </w:t>
      </w:r>
      <w:r w:rsidR="000B19B3">
        <w:rPr>
          <w:lang w:bidi="ar-SA"/>
        </w:rPr>
        <w:t>enzyme</w:t>
      </w:r>
      <w:r w:rsidRPr="00606D9E">
        <w:rPr>
          <w:lang w:bidi="ar-SA"/>
        </w:rPr>
        <w:t xml:space="preserve">, which was the highest dose </w:t>
      </w:r>
      <w:r>
        <w:rPr>
          <w:lang w:bidi="ar-SA"/>
        </w:rPr>
        <w:t>tested and is equivalent to 150 </w:t>
      </w:r>
      <w:r w:rsidRPr="00606D9E">
        <w:rPr>
          <w:lang w:bidi="ar-SA"/>
        </w:rPr>
        <w:t xml:space="preserve">mg/kg bw/day total organic solids (TOS). The </w:t>
      </w:r>
      <w:r w:rsidR="004F6C27">
        <w:rPr>
          <w:lang w:bidi="ar-SA"/>
        </w:rPr>
        <w:t>t</w:t>
      </w:r>
      <w:r w:rsidR="004F6C27" w:rsidRPr="00606D9E">
        <w:rPr>
          <w:lang w:bidi="ar-SA"/>
        </w:rPr>
        <w:t xml:space="preserve">heoretical </w:t>
      </w:r>
      <w:r w:rsidR="004F6C27">
        <w:rPr>
          <w:lang w:bidi="ar-SA"/>
        </w:rPr>
        <w:t>m</w:t>
      </w:r>
      <w:r w:rsidR="004F6C27" w:rsidRPr="00606D9E">
        <w:rPr>
          <w:lang w:bidi="ar-SA"/>
        </w:rPr>
        <w:t xml:space="preserve">aximum </w:t>
      </w:r>
      <w:r w:rsidR="004F6C27">
        <w:rPr>
          <w:lang w:bidi="ar-SA"/>
        </w:rPr>
        <w:t>d</w:t>
      </w:r>
      <w:r w:rsidR="004F6C27" w:rsidRPr="00606D9E">
        <w:rPr>
          <w:lang w:bidi="ar-SA"/>
        </w:rPr>
        <w:t xml:space="preserve">aily </w:t>
      </w:r>
      <w:r w:rsidR="004F6C27">
        <w:rPr>
          <w:lang w:bidi="ar-SA"/>
        </w:rPr>
        <w:t>i</w:t>
      </w:r>
      <w:r w:rsidR="004F6C27" w:rsidRPr="00606D9E">
        <w:rPr>
          <w:lang w:bidi="ar-SA"/>
        </w:rPr>
        <w:t xml:space="preserve">ntake </w:t>
      </w:r>
      <w:r w:rsidRPr="00606D9E">
        <w:rPr>
          <w:lang w:bidi="ar-SA"/>
        </w:rPr>
        <w:t xml:space="preserve">(TMDI) was calculated by FSANZ to be 0.085 mg/kg bw/day TOS. Comparison of the NOAEL and the TMDI gives a </w:t>
      </w:r>
      <w:r w:rsidR="004F6C27">
        <w:rPr>
          <w:lang w:bidi="ar-SA"/>
        </w:rPr>
        <w:t>m</w:t>
      </w:r>
      <w:r w:rsidR="004F6C27" w:rsidRPr="00606D9E">
        <w:rPr>
          <w:lang w:bidi="ar-SA"/>
        </w:rPr>
        <w:t xml:space="preserve">argin </w:t>
      </w:r>
      <w:r w:rsidRPr="00606D9E">
        <w:rPr>
          <w:lang w:bidi="ar-SA"/>
        </w:rPr>
        <w:t xml:space="preserve">of </w:t>
      </w:r>
      <w:r w:rsidR="004F6C27">
        <w:rPr>
          <w:lang w:bidi="ar-SA"/>
        </w:rPr>
        <w:t>e</w:t>
      </w:r>
      <w:r w:rsidR="004F6C27" w:rsidRPr="00606D9E">
        <w:rPr>
          <w:lang w:bidi="ar-SA"/>
        </w:rPr>
        <w:t xml:space="preserve">xposure </w:t>
      </w:r>
      <w:r w:rsidRPr="00606D9E">
        <w:rPr>
          <w:lang w:bidi="ar-SA"/>
        </w:rPr>
        <w:t>(MOE) of approximately 176</w:t>
      </w:r>
      <w:r w:rsidR="005E71C7">
        <w:rPr>
          <w:lang w:bidi="ar-SA"/>
        </w:rPr>
        <w:t>0</w:t>
      </w:r>
      <w:r w:rsidRPr="00606D9E">
        <w:rPr>
          <w:lang w:bidi="ar-SA"/>
        </w:rPr>
        <w:t>.</w:t>
      </w:r>
    </w:p>
    <w:p w14:paraId="411DE3B7" w14:textId="77777777" w:rsidR="00606D9E" w:rsidRPr="00606D9E" w:rsidRDefault="00606D9E" w:rsidP="00606D9E">
      <w:pPr>
        <w:rPr>
          <w:lang w:bidi="ar-SA"/>
        </w:rPr>
      </w:pPr>
    </w:p>
    <w:p w14:paraId="32B5B993" w14:textId="061CA08B" w:rsidR="00606D9E" w:rsidRPr="00606D9E" w:rsidRDefault="00606D9E" w:rsidP="00606D9E">
      <w:pPr>
        <w:rPr>
          <w:lang w:bidi="ar-SA"/>
        </w:rPr>
      </w:pPr>
      <w:r w:rsidRPr="00606D9E">
        <w:rPr>
          <w:lang w:bidi="ar-SA"/>
        </w:rPr>
        <w:t xml:space="preserve">Bioinformatic analysis indicated that the enzyme shows no significant homology with any known toxins or venoms. However a degree of homology between the </w:t>
      </w:r>
      <w:r w:rsidR="004F6C27">
        <w:rPr>
          <w:lang w:bidi="ar-SA"/>
        </w:rPr>
        <w:t xml:space="preserve">enzyme and </w:t>
      </w:r>
      <w:r w:rsidRPr="00606D9E">
        <w:rPr>
          <w:lang w:bidi="ar-SA"/>
        </w:rPr>
        <w:t xml:space="preserve">several allergens was found. Taking into account that none of these allergens </w:t>
      </w:r>
      <w:r w:rsidR="004F6C27">
        <w:rPr>
          <w:lang w:bidi="ar-SA"/>
        </w:rPr>
        <w:t>are</w:t>
      </w:r>
      <w:r w:rsidR="004F6C27" w:rsidRPr="00606D9E">
        <w:rPr>
          <w:lang w:bidi="ar-SA"/>
        </w:rPr>
        <w:t xml:space="preserve"> </w:t>
      </w:r>
      <w:r w:rsidRPr="00606D9E">
        <w:rPr>
          <w:lang w:bidi="ar-SA"/>
        </w:rPr>
        <w:t>food allergens</w:t>
      </w:r>
      <w:r w:rsidR="00306ECD">
        <w:rPr>
          <w:lang w:bidi="ar-SA"/>
        </w:rPr>
        <w:t xml:space="preserve">, </w:t>
      </w:r>
      <w:r w:rsidR="00306ECD">
        <w:rPr>
          <w:lang w:val="en-AU"/>
        </w:rPr>
        <w:t>the enzyme was shown to be susceptible to proteolysis by digestive enzymes</w:t>
      </w:r>
      <w:r w:rsidRPr="00606D9E">
        <w:rPr>
          <w:lang w:bidi="ar-SA"/>
        </w:rPr>
        <w:t xml:space="preserve"> and only low level</w:t>
      </w:r>
      <w:r w:rsidR="004F6C27">
        <w:rPr>
          <w:lang w:bidi="ar-SA"/>
        </w:rPr>
        <w:t>s</w:t>
      </w:r>
      <w:r w:rsidRPr="00606D9E">
        <w:rPr>
          <w:lang w:bidi="ar-SA"/>
        </w:rPr>
        <w:t xml:space="preserve"> of the enzyme processing aid</w:t>
      </w:r>
      <w:r w:rsidR="004F6C27">
        <w:rPr>
          <w:lang w:bidi="ar-SA"/>
        </w:rPr>
        <w:t xml:space="preserve"> are</w:t>
      </w:r>
      <w:r w:rsidRPr="00606D9E">
        <w:rPr>
          <w:lang w:bidi="ar-SA"/>
        </w:rPr>
        <w:t xml:space="preserve"> expected to be present in final food products, the risk of food allergy from the proposed uses of the enzyme is likely to be low.</w:t>
      </w:r>
    </w:p>
    <w:p w14:paraId="537CE7BC" w14:textId="77777777" w:rsidR="00606D9E" w:rsidRPr="00606D9E" w:rsidRDefault="00606D9E" w:rsidP="00606D9E">
      <w:pPr>
        <w:rPr>
          <w:lang w:bidi="ar-SA"/>
        </w:rPr>
      </w:pPr>
    </w:p>
    <w:p w14:paraId="442265F3" w14:textId="3769E137" w:rsidR="00092CDA" w:rsidRDefault="00606D9E" w:rsidP="00606D9E">
      <w:pPr>
        <w:rPr>
          <w:lang w:bidi="ar-SA"/>
        </w:rPr>
      </w:pPr>
      <w:r w:rsidRPr="00606D9E">
        <w:rPr>
          <w:lang w:bidi="ar-SA"/>
        </w:rPr>
        <w:t>Based on the reviewed data it is concluded that in the absence of any identifiable hazard an Acceptable Daily Intake (ADI) ‘not specified’ is appropriate.</w:t>
      </w:r>
    </w:p>
    <w:p w14:paraId="73F1D56B" w14:textId="77777777" w:rsidR="00606D9E" w:rsidRPr="00606D9E" w:rsidRDefault="00606D9E" w:rsidP="00606D9E">
      <w:pPr>
        <w:sectPr w:rsidR="00606D9E" w:rsidRPr="00606D9E"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12EE415" w14:textId="74347D4B" w:rsidR="001D1FB4" w:rsidRPr="001D1FB4" w:rsidRDefault="001D1FB4" w:rsidP="001D1FB4">
      <w:pPr>
        <w:jc w:val="center"/>
        <w:rPr>
          <w:sz w:val="32"/>
          <w:lang w:val="en-AU"/>
        </w:rPr>
      </w:pPr>
      <w:r w:rsidRPr="001D1FB4">
        <w:rPr>
          <w:sz w:val="32"/>
          <w:lang w:val="en-AU"/>
        </w:rPr>
        <w:lastRenderedPageBreak/>
        <w:t>Table of contents</w:t>
      </w:r>
    </w:p>
    <w:p w14:paraId="58951075" w14:textId="693AE434" w:rsidR="008E3BE0" w:rsidRDefault="001D1FB4">
      <w:pPr>
        <w:pStyle w:val="TOC1"/>
        <w:tabs>
          <w:tab w:val="right" w:leader="dot" w:pos="9060"/>
        </w:tabs>
        <w:rPr>
          <w:rFonts w:eastAsiaTheme="minorEastAsia" w:cstheme="minorBidi"/>
          <w:b w:val="0"/>
          <w:bCs w:val="0"/>
          <w:caps w:val="0"/>
          <w:noProof/>
          <w:sz w:val="22"/>
          <w:szCs w:val="22"/>
          <w:lang w:eastAsia="en-GB" w:bidi="ar-SA"/>
        </w:rPr>
      </w:pPr>
      <w:r w:rsidRPr="001D1FB4">
        <w:rPr>
          <w:lang w:val="en-AU"/>
        </w:rPr>
        <w:fldChar w:fldCharType="begin"/>
      </w:r>
      <w:r w:rsidRPr="001D1FB4">
        <w:rPr>
          <w:lang w:val="en-AU"/>
        </w:rPr>
        <w:instrText xml:space="preserve"> TOC \o "1-3" \h \z \u </w:instrText>
      </w:r>
      <w:r w:rsidRPr="001D1FB4">
        <w:rPr>
          <w:lang w:val="en-AU"/>
        </w:rPr>
        <w:fldChar w:fldCharType="separate"/>
      </w:r>
      <w:hyperlink w:anchor="_Toc101521514" w:history="1">
        <w:r w:rsidR="008E3BE0" w:rsidRPr="00B27902">
          <w:rPr>
            <w:rStyle w:val="Hyperlink"/>
            <w:noProof/>
          </w:rPr>
          <w:t>Executive summary</w:t>
        </w:r>
        <w:r w:rsidR="008E3BE0">
          <w:rPr>
            <w:noProof/>
            <w:webHidden/>
          </w:rPr>
          <w:tab/>
        </w:r>
        <w:r w:rsidR="008E3BE0">
          <w:rPr>
            <w:noProof/>
            <w:webHidden/>
          </w:rPr>
          <w:fldChar w:fldCharType="begin"/>
        </w:r>
        <w:r w:rsidR="008E3BE0">
          <w:rPr>
            <w:noProof/>
            <w:webHidden/>
          </w:rPr>
          <w:instrText xml:space="preserve"> PAGEREF _Toc101521514 \h </w:instrText>
        </w:r>
        <w:r w:rsidR="008E3BE0">
          <w:rPr>
            <w:noProof/>
            <w:webHidden/>
          </w:rPr>
        </w:r>
        <w:r w:rsidR="008E3BE0">
          <w:rPr>
            <w:noProof/>
            <w:webHidden/>
          </w:rPr>
          <w:fldChar w:fldCharType="separate"/>
        </w:r>
        <w:r w:rsidR="008E3BE0">
          <w:rPr>
            <w:noProof/>
            <w:webHidden/>
          </w:rPr>
          <w:t>i</w:t>
        </w:r>
        <w:r w:rsidR="008E3BE0">
          <w:rPr>
            <w:noProof/>
            <w:webHidden/>
          </w:rPr>
          <w:fldChar w:fldCharType="end"/>
        </w:r>
      </w:hyperlink>
    </w:p>
    <w:p w14:paraId="69A53CC1" w14:textId="67B5DC4B" w:rsidR="008E3BE0" w:rsidRDefault="00F00CC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521515" w:history="1">
        <w:r w:rsidR="008E3BE0" w:rsidRPr="00B27902">
          <w:rPr>
            <w:rStyle w:val="Hyperlink"/>
            <w:noProof/>
            <w:lang w:val="en-AU"/>
          </w:rPr>
          <w:t>1.</w:t>
        </w:r>
        <w:r w:rsidR="008E3BE0">
          <w:rPr>
            <w:rFonts w:eastAsiaTheme="minorEastAsia" w:cstheme="minorBidi"/>
            <w:b w:val="0"/>
            <w:bCs w:val="0"/>
            <w:caps w:val="0"/>
            <w:noProof/>
            <w:sz w:val="22"/>
            <w:szCs w:val="22"/>
            <w:lang w:eastAsia="en-GB" w:bidi="ar-SA"/>
          </w:rPr>
          <w:tab/>
        </w:r>
        <w:r w:rsidR="008E3BE0" w:rsidRPr="00B27902">
          <w:rPr>
            <w:rStyle w:val="Hyperlink"/>
            <w:noProof/>
            <w:lang w:val="en-AU"/>
          </w:rPr>
          <w:t>Introduction</w:t>
        </w:r>
        <w:r w:rsidR="008E3BE0">
          <w:rPr>
            <w:noProof/>
            <w:webHidden/>
          </w:rPr>
          <w:tab/>
        </w:r>
        <w:r w:rsidR="008E3BE0">
          <w:rPr>
            <w:noProof/>
            <w:webHidden/>
          </w:rPr>
          <w:fldChar w:fldCharType="begin"/>
        </w:r>
        <w:r w:rsidR="008E3BE0">
          <w:rPr>
            <w:noProof/>
            <w:webHidden/>
          </w:rPr>
          <w:instrText xml:space="preserve"> PAGEREF _Toc101521515 \h </w:instrText>
        </w:r>
        <w:r w:rsidR="008E3BE0">
          <w:rPr>
            <w:noProof/>
            <w:webHidden/>
          </w:rPr>
        </w:r>
        <w:r w:rsidR="008E3BE0">
          <w:rPr>
            <w:noProof/>
            <w:webHidden/>
          </w:rPr>
          <w:fldChar w:fldCharType="separate"/>
        </w:r>
        <w:r w:rsidR="008E3BE0">
          <w:rPr>
            <w:noProof/>
            <w:webHidden/>
          </w:rPr>
          <w:t>2</w:t>
        </w:r>
        <w:r w:rsidR="008E3BE0">
          <w:rPr>
            <w:noProof/>
            <w:webHidden/>
          </w:rPr>
          <w:fldChar w:fldCharType="end"/>
        </w:r>
      </w:hyperlink>
    </w:p>
    <w:p w14:paraId="0318B9AB" w14:textId="1DC9CE90"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16" w:history="1">
        <w:r w:rsidR="008E3BE0" w:rsidRPr="00B27902">
          <w:rPr>
            <w:rStyle w:val="Hyperlink"/>
            <w:noProof/>
          </w:rPr>
          <w:t>1.1</w:t>
        </w:r>
        <w:r w:rsidR="008E3BE0">
          <w:rPr>
            <w:rFonts w:eastAsiaTheme="minorEastAsia" w:cstheme="minorBidi"/>
            <w:smallCaps w:val="0"/>
            <w:noProof/>
            <w:sz w:val="22"/>
            <w:szCs w:val="22"/>
            <w:lang w:eastAsia="en-GB" w:bidi="ar-SA"/>
          </w:rPr>
          <w:tab/>
        </w:r>
        <w:r w:rsidR="008E3BE0" w:rsidRPr="00B27902">
          <w:rPr>
            <w:rStyle w:val="Hyperlink"/>
            <w:noProof/>
          </w:rPr>
          <w:t>Objectives of the assessment</w:t>
        </w:r>
        <w:r w:rsidR="008E3BE0">
          <w:rPr>
            <w:noProof/>
            <w:webHidden/>
          </w:rPr>
          <w:tab/>
        </w:r>
        <w:r w:rsidR="008E3BE0">
          <w:rPr>
            <w:noProof/>
            <w:webHidden/>
          </w:rPr>
          <w:fldChar w:fldCharType="begin"/>
        </w:r>
        <w:r w:rsidR="008E3BE0">
          <w:rPr>
            <w:noProof/>
            <w:webHidden/>
          </w:rPr>
          <w:instrText xml:space="preserve"> PAGEREF _Toc101521516 \h </w:instrText>
        </w:r>
        <w:r w:rsidR="008E3BE0">
          <w:rPr>
            <w:noProof/>
            <w:webHidden/>
          </w:rPr>
        </w:r>
        <w:r w:rsidR="008E3BE0">
          <w:rPr>
            <w:noProof/>
            <w:webHidden/>
          </w:rPr>
          <w:fldChar w:fldCharType="separate"/>
        </w:r>
        <w:r w:rsidR="008E3BE0">
          <w:rPr>
            <w:noProof/>
            <w:webHidden/>
          </w:rPr>
          <w:t>2</w:t>
        </w:r>
        <w:r w:rsidR="008E3BE0">
          <w:rPr>
            <w:noProof/>
            <w:webHidden/>
          </w:rPr>
          <w:fldChar w:fldCharType="end"/>
        </w:r>
      </w:hyperlink>
    </w:p>
    <w:p w14:paraId="66978AC5" w14:textId="364FC5F6" w:rsidR="008E3BE0" w:rsidRDefault="00F00CC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521517" w:history="1">
        <w:r w:rsidR="008E3BE0" w:rsidRPr="00B27902">
          <w:rPr>
            <w:rStyle w:val="Hyperlink"/>
            <w:noProof/>
            <w:lang w:val="en-AU"/>
          </w:rPr>
          <w:t>2</w:t>
        </w:r>
        <w:r w:rsidR="008E3BE0">
          <w:rPr>
            <w:rFonts w:eastAsiaTheme="minorEastAsia" w:cstheme="minorBidi"/>
            <w:b w:val="0"/>
            <w:bCs w:val="0"/>
            <w:caps w:val="0"/>
            <w:noProof/>
            <w:sz w:val="22"/>
            <w:szCs w:val="22"/>
            <w:lang w:eastAsia="en-GB" w:bidi="ar-SA"/>
          </w:rPr>
          <w:tab/>
        </w:r>
        <w:r w:rsidR="008E3BE0" w:rsidRPr="00B27902">
          <w:rPr>
            <w:rStyle w:val="Hyperlink"/>
            <w:noProof/>
            <w:lang w:val="en-AU"/>
          </w:rPr>
          <w:t>Food technology assessment</w:t>
        </w:r>
        <w:r w:rsidR="008E3BE0">
          <w:rPr>
            <w:noProof/>
            <w:webHidden/>
          </w:rPr>
          <w:tab/>
        </w:r>
        <w:r w:rsidR="008E3BE0">
          <w:rPr>
            <w:noProof/>
            <w:webHidden/>
          </w:rPr>
          <w:fldChar w:fldCharType="begin"/>
        </w:r>
        <w:r w:rsidR="008E3BE0">
          <w:rPr>
            <w:noProof/>
            <w:webHidden/>
          </w:rPr>
          <w:instrText xml:space="preserve"> PAGEREF _Toc101521517 \h </w:instrText>
        </w:r>
        <w:r w:rsidR="008E3BE0">
          <w:rPr>
            <w:noProof/>
            <w:webHidden/>
          </w:rPr>
        </w:r>
        <w:r w:rsidR="008E3BE0">
          <w:rPr>
            <w:noProof/>
            <w:webHidden/>
          </w:rPr>
          <w:fldChar w:fldCharType="separate"/>
        </w:r>
        <w:r w:rsidR="008E3BE0">
          <w:rPr>
            <w:noProof/>
            <w:webHidden/>
          </w:rPr>
          <w:t>3</w:t>
        </w:r>
        <w:r w:rsidR="008E3BE0">
          <w:rPr>
            <w:noProof/>
            <w:webHidden/>
          </w:rPr>
          <w:fldChar w:fldCharType="end"/>
        </w:r>
      </w:hyperlink>
    </w:p>
    <w:p w14:paraId="5EB38381" w14:textId="173442B9"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18" w:history="1">
        <w:r w:rsidR="008E3BE0" w:rsidRPr="00B27902">
          <w:rPr>
            <w:rStyle w:val="Hyperlink"/>
            <w:noProof/>
          </w:rPr>
          <w:t>2.1</w:t>
        </w:r>
        <w:r w:rsidR="008E3BE0">
          <w:rPr>
            <w:rFonts w:eastAsiaTheme="minorEastAsia" w:cstheme="minorBidi"/>
            <w:smallCaps w:val="0"/>
            <w:noProof/>
            <w:sz w:val="22"/>
            <w:szCs w:val="22"/>
            <w:lang w:eastAsia="en-GB" w:bidi="ar-SA"/>
          </w:rPr>
          <w:tab/>
        </w:r>
        <w:r w:rsidR="008E3BE0" w:rsidRPr="00B27902">
          <w:rPr>
            <w:rStyle w:val="Hyperlink"/>
            <w:noProof/>
          </w:rPr>
          <w:t>Characterisation of the enzyme</w:t>
        </w:r>
        <w:r w:rsidR="008E3BE0">
          <w:rPr>
            <w:noProof/>
            <w:webHidden/>
          </w:rPr>
          <w:tab/>
        </w:r>
        <w:r w:rsidR="008E3BE0">
          <w:rPr>
            <w:noProof/>
            <w:webHidden/>
          </w:rPr>
          <w:fldChar w:fldCharType="begin"/>
        </w:r>
        <w:r w:rsidR="008E3BE0">
          <w:rPr>
            <w:noProof/>
            <w:webHidden/>
          </w:rPr>
          <w:instrText xml:space="preserve"> PAGEREF _Toc101521518 \h </w:instrText>
        </w:r>
        <w:r w:rsidR="008E3BE0">
          <w:rPr>
            <w:noProof/>
            <w:webHidden/>
          </w:rPr>
        </w:r>
        <w:r w:rsidR="008E3BE0">
          <w:rPr>
            <w:noProof/>
            <w:webHidden/>
          </w:rPr>
          <w:fldChar w:fldCharType="separate"/>
        </w:r>
        <w:r w:rsidR="008E3BE0">
          <w:rPr>
            <w:noProof/>
            <w:webHidden/>
          </w:rPr>
          <w:t>3</w:t>
        </w:r>
        <w:r w:rsidR="008E3BE0">
          <w:rPr>
            <w:noProof/>
            <w:webHidden/>
          </w:rPr>
          <w:fldChar w:fldCharType="end"/>
        </w:r>
      </w:hyperlink>
    </w:p>
    <w:p w14:paraId="27C8D7D6" w14:textId="004476B6"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19" w:history="1">
        <w:r w:rsidR="008E3BE0" w:rsidRPr="00B27902">
          <w:rPr>
            <w:rStyle w:val="Hyperlink"/>
            <w:noProof/>
          </w:rPr>
          <w:t>2.1.1</w:t>
        </w:r>
        <w:r w:rsidR="008E3BE0">
          <w:rPr>
            <w:rFonts w:eastAsiaTheme="minorEastAsia" w:cstheme="minorBidi"/>
            <w:i w:val="0"/>
            <w:iCs w:val="0"/>
            <w:noProof/>
            <w:sz w:val="22"/>
            <w:szCs w:val="22"/>
            <w:lang w:eastAsia="en-GB" w:bidi="ar-SA"/>
          </w:rPr>
          <w:tab/>
        </w:r>
        <w:r w:rsidR="008E3BE0" w:rsidRPr="00B27902">
          <w:rPr>
            <w:rStyle w:val="Hyperlink"/>
            <w:noProof/>
          </w:rPr>
          <w:t>Identity of the enzyme</w:t>
        </w:r>
        <w:r w:rsidR="008E3BE0">
          <w:rPr>
            <w:noProof/>
            <w:webHidden/>
          </w:rPr>
          <w:tab/>
        </w:r>
        <w:r w:rsidR="008E3BE0">
          <w:rPr>
            <w:noProof/>
            <w:webHidden/>
          </w:rPr>
          <w:fldChar w:fldCharType="begin"/>
        </w:r>
        <w:r w:rsidR="008E3BE0">
          <w:rPr>
            <w:noProof/>
            <w:webHidden/>
          </w:rPr>
          <w:instrText xml:space="preserve"> PAGEREF _Toc101521519 \h </w:instrText>
        </w:r>
        <w:r w:rsidR="008E3BE0">
          <w:rPr>
            <w:noProof/>
            <w:webHidden/>
          </w:rPr>
        </w:r>
        <w:r w:rsidR="008E3BE0">
          <w:rPr>
            <w:noProof/>
            <w:webHidden/>
          </w:rPr>
          <w:fldChar w:fldCharType="separate"/>
        </w:r>
        <w:r w:rsidR="008E3BE0">
          <w:rPr>
            <w:noProof/>
            <w:webHidden/>
          </w:rPr>
          <w:t>3</w:t>
        </w:r>
        <w:r w:rsidR="008E3BE0">
          <w:rPr>
            <w:noProof/>
            <w:webHidden/>
          </w:rPr>
          <w:fldChar w:fldCharType="end"/>
        </w:r>
      </w:hyperlink>
    </w:p>
    <w:p w14:paraId="5F0CFCC4" w14:textId="67C3AEF7"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20" w:history="1">
        <w:r w:rsidR="008E3BE0" w:rsidRPr="00B27902">
          <w:rPr>
            <w:rStyle w:val="Hyperlink"/>
            <w:noProof/>
          </w:rPr>
          <w:t>2.2</w:t>
        </w:r>
        <w:r w:rsidR="008E3BE0">
          <w:rPr>
            <w:rFonts w:eastAsiaTheme="minorEastAsia" w:cstheme="minorBidi"/>
            <w:smallCaps w:val="0"/>
            <w:noProof/>
            <w:sz w:val="22"/>
            <w:szCs w:val="22"/>
            <w:lang w:eastAsia="en-GB" w:bidi="ar-SA"/>
          </w:rPr>
          <w:tab/>
        </w:r>
        <w:r w:rsidR="008E3BE0" w:rsidRPr="00B27902">
          <w:rPr>
            <w:rStyle w:val="Hyperlink"/>
            <w:noProof/>
          </w:rPr>
          <w:t>Manufacturing process</w:t>
        </w:r>
        <w:r w:rsidR="008E3BE0">
          <w:rPr>
            <w:noProof/>
            <w:webHidden/>
          </w:rPr>
          <w:tab/>
        </w:r>
        <w:r w:rsidR="008E3BE0">
          <w:rPr>
            <w:noProof/>
            <w:webHidden/>
          </w:rPr>
          <w:fldChar w:fldCharType="begin"/>
        </w:r>
        <w:r w:rsidR="008E3BE0">
          <w:rPr>
            <w:noProof/>
            <w:webHidden/>
          </w:rPr>
          <w:instrText xml:space="preserve"> PAGEREF _Toc101521520 \h </w:instrText>
        </w:r>
        <w:r w:rsidR="008E3BE0">
          <w:rPr>
            <w:noProof/>
            <w:webHidden/>
          </w:rPr>
        </w:r>
        <w:r w:rsidR="008E3BE0">
          <w:rPr>
            <w:noProof/>
            <w:webHidden/>
          </w:rPr>
          <w:fldChar w:fldCharType="separate"/>
        </w:r>
        <w:r w:rsidR="008E3BE0">
          <w:rPr>
            <w:noProof/>
            <w:webHidden/>
          </w:rPr>
          <w:t>3</w:t>
        </w:r>
        <w:r w:rsidR="008E3BE0">
          <w:rPr>
            <w:noProof/>
            <w:webHidden/>
          </w:rPr>
          <w:fldChar w:fldCharType="end"/>
        </w:r>
      </w:hyperlink>
    </w:p>
    <w:p w14:paraId="1049C4BF" w14:textId="648D4519"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21" w:history="1">
        <w:r w:rsidR="008E3BE0" w:rsidRPr="00B27902">
          <w:rPr>
            <w:rStyle w:val="Hyperlink"/>
            <w:noProof/>
          </w:rPr>
          <w:t>2.2.1</w:t>
        </w:r>
        <w:r w:rsidR="008E3BE0">
          <w:rPr>
            <w:rFonts w:eastAsiaTheme="minorEastAsia" w:cstheme="minorBidi"/>
            <w:i w:val="0"/>
            <w:iCs w:val="0"/>
            <w:noProof/>
            <w:sz w:val="22"/>
            <w:szCs w:val="22"/>
            <w:lang w:eastAsia="en-GB" w:bidi="ar-SA"/>
          </w:rPr>
          <w:tab/>
        </w:r>
        <w:r w:rsidR="008E3BE0" w:rsidRPr="00B27902">
          <w:rPr>
            <w:rStyle w:val="Hyperlink"/>
            <w:noProof/>
          </w:rPr>
          <w:t>Production of the enzyme</w:t>
        </w:r>
        <w:r w:rsidR="008E3BE0">
          <w:rPr>
            <w:noProof/>
            <w:webHidden/>
          </w:rPr>
          <w:tab/>
        </w:r>
        <w:r w:rsidR="008E3BE0">
          <w:rPr>
            <w:noProof/>
            <w:webHidden/>
          </w:rPr>
          <w:fldChar w:fldCharType="begin"/>
        </w:r>
        <w:r w:rsidR="008E3BE0">
          <w:rPr>
            <w:noProof/>
            <w:webHidden/>
          </w:rPr>
          <w:instrText xml:space="preserve"> PAGEREF _Toc101521521 \h </w:instrText>
        </w:r>
        <w:r w:rsidR="008E3BE0">
          <w:rPr>
            <w:noProof/>
            <w:webHidden/>
          </w:rPr>
        </w:r>
        <w:r w:rsidR="008E3BE0">
          <w:rPr>
            <w:noProof/>
            <w:webHidden/>
          </w:rPr>
          <w:fldChar w:fldCharType="separate"/>
        </w:r>
        <w:r w:rsidR="008E3BE0">
          <w:rPr>
            <w:noProof/>
            <w:webHidden/>
          </w:rPr>
          <w:t>3</w:t>
        </w:r>
        <w:r w:rsidR="008E3BE0">
          <w:rPr>
            <w:noProof/>
            <w:webHidden/>
          </w:rPr>
          <w:fldChar w:fldCharType="end"/>
        </w:r>
      </w:hyperlink>
    </w:p>
    <w:p w14:paraId="790D892F" w14:textId="742456D7"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22" w:history="1">
        <w:r w:rsidR="008E3BE0" w:rsidRPr="00B27902">
          <w:rPr>
            <w:rStyle w:val="Hyperlink"/>
            <w:noProof/>
          </w:rPr>
          <w:t>2.2.2</w:t>
        </w:r>
        <w:r w:rsidR="008E3BE0">
          <w:rPr>
            <w:rFonts w:eastAsiaTheme="minorEastAsia" w:cstheme="minorBidi"/>
            <w:i w:val="0"/>
            <w:iCs w:val="0"/>
            <w:noProof/>
            <w:sz w:val="22"/>
            <w:szCs w:val="22"/>
            <w:lang w:eastAsia="en-GB" w:bidi="ar-SA"/>
          </w:rPr>
          <w:tab/>
        </w:r>
        <w:r w:rsidR="008E3BE0" w:rsidRPr="00B27902">
          <w:rPr>
            <w:rStyle w:val="Hyperlink"/>
            <w:noProof/>
          </w:rPr>
          <w:t>Specifications</w:t>
        </w:r>
        <w:r w:rsidR="008E3BE0">
          <w:rPr>
            <w:noProof/>
            <w:webHidden/>
          </w:rPr>
          <w:tab/>
        </w:r>
        <w:r w:rsidR="008E3BE0">
          <w:rPr>
            <w:noProof/>
            <w:webHidden/>
          </w:rPr>
          <w:fldChar w:fldCharType="begin"/>
        </w:r>
        <w:r w:rsidR="008E3BE0">
          <w:rPr>
            <w:noProof/>
            <w:webHidden/>
          </w:rPr>
          <w:instrText xml:space="preserve"> PAGEREF _Toc101521522 \h </w:instrText>
        </w:r>
        <w:r w:rsidR="008E3BE0">
          <w:rPr>
            <w:noProof/>
            <w:webHidden/>
          </w:rPr>
        </w:r>
        <w:r w:rsidR="008E3BE0">
          <w:rPr>
            <w:noProof/>
            <w:webHidden/>
          </w:rPr>
          <w:fldChar w:fldCharType="separate"/>
        </w:r>
        <w:r w:rsidR="008E3BE0">
          <w:rPr>
            <w:noProof/>
            <w:webHidden/>
          </w:rPr>
          <w:t>4</w:t>
        </w:r>
        <w:r w:rsidR="008E3BE0">
          <w:rPr>
            <w:noProof/>
            <w:webHidden/>
          </w:rPr>
          <w:fldChar w:fldCharType="end"/>
        </w:r>
      </w:hyperlink>
    </w:p>
    <w:p w14:paraId="1754B9F3" w14:textId="660263DA"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23" w:history="1">
        <w:r w:rsidR="008E3BE0" w:rsidRPr="00B27902">
          <w:rPr>
            <w:rStyle w:val="Hyperlink"/>
            <w:noProof/>
          </w:rPr>
          <w:t>2.3</w:t>
        </w:r>
        <w:r w:rsidR="008E3BE0">
          <w:rPr>
            <w:rFonts w:eastAsiaTheme="minorEastAsia" w:cstheme="minorBidi"/>
            <w:smallCaps w:val="0"/>
            <w:noProof/>
            <w:sz w:val="22"/>
            <w:szCs w:val="22"/>
            <w:lang w:eastAsia="en-GB" w:bidi="ar-SA"/>
          </w:rPr>
          <w:tab/>
        </w:r>
        <w:r w:rsidR="008E3BE0" w:rsidRPr="00B27902">
          <w:rPr>
            <w:rStyle w:val="Hyperlink"/>
            <w:noProof/>
          </w:rPr>
          <w:t>Technological purpose of the enzyme</w:t>
        </w:r>
        <w:r w:rsidR="008E3BE0">
          <w:rPr>
            <w:noProof/>
            <w:webHidden/>
          </w:rPr>
          <w:tab/>
        </w:r>
        <w:r w:rsidR="008E3BE0">
          <w:rPr>
            <w:noProof/>
            <w:webHidden/>
          </w:rPr>
          <w:fldChar w:fldCharType="begin"/>
        </w:r>
        <w:r w:rsidR="008E3BE0">
          <w:rPr>
            <w:noProof/>
            <w:webHidden/>
          </w:rPr>
          <w:instrText xml:space="preserve"> PAGEREF _Toc101521523 \h </w:instrText>
        </w:r>
        <w:r w:rsidR="008E3BE0">
          <w:rPr>
            <w:noProof/>
            <w:webHidden/>
          </w:rPr>
        </w:r>
        <w:r w:rsidR="008E3BE0">
          <w:rPr>
            <w:noProof/>
            <w:webHidden/>
          </w:rPr>
          <w:fldChar w:fldCharType="separate"/>
        </w:r>
        <w:r w:rsidR="008E3BE0">
          <w:rPr>
            <w:noProof/>
            <w:webHidden/>
          </w:rPr>
          <w:t>5</w:t>
        </w:r>
        <w:r w:rsidR="008E3BE0">
          <w:rPr>
            <w:noProof/>
            <w:webHidden/>
          </w:rPr>
          <w:fldChar w:fldCharType="end"/>
        </w:r>
      </w:hyperlink>
    </w:p>
    <w:p w14:paraId="286E6C15" w14:textId="0CC02D95"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24" w:history="1">
        <w:r w:rsidR="008E3BE0" w:rsidRPr="00B27902">
          <w:rPr>
            <w:rStyle w:val="Hyperlink"/>
            <w:noProof/>
          </w:rPr>
          <w:t>2.4</w:t>
        </w:r>
        <w:r w:rsidR="008E3BE0">
          <w:rPr>
            <w:rFonts w:eastAsiaTheme="minorEastAsia" w:cstheme="minorBidi"/>
            <w:smallCaps w:val="0"/>
            <w:noProof/>
            <w:sz w:val="22"/>
            <w:szCs w:val="22"/>
            <w:lang w:eastAsia="en-GB" w:bidi="ar-SA"/>
          </w:rPr>
          <w:tab/>
        </w:r>
        <w:r w:rsidR="008E3BE0" w:rsidRPr="00B27902">
          <w:rPr>
            <w:rStyle w:val="Hyperlink"/>
            <w:noProof/>
          </w:rPr>
          <w:t>Technological justification</w:t>
        </w:r>
        <w:r w:rsidR="008E3BE0">
          <w:rPr>
            <w:noProof/>
            <w:webHidden/>
          </w:rPr>
          <w:tab/>
        </w:r>
        <w:r w:rsidR="008E3BE0">
          <w:rPr>
            <w:noProof/>
            <w:webHidden/>
          </w:rPr>
          <w:fldChar w:fldCharType="begin"/>
        </w:r>
        <w:r w:rsidR="008E3BE0">
          <w:rPr>
            <w:noProof/>
            <w:webHidden/>
          </w:rPr>
          <w:instrText xml:space="preserve"> PAGEREF _Toc101521524 \h </w:instrText>
        </w:r>
        <w:r w:rsidR="008E3BE0">
          <w:rPr>
            <w:noProof/>
            <w:webHidden/>
          </w:rPr>
        </w:r>
        <w:r w:rsidR="008E3BE0">
          <w:rPr>
            <w:noProof/>
            <w:webHidden/>
          </w:rPr>
          <w:fldChar w:fldCharType="separate"/>
        </w:r>
        <w:r w:rsidR="008E3BE0">
          <w:rPr>
            <w:noProof/>
            <w:webHidden/>
          </w:rPr>
          <w:t>6</w:t>
        </w:r>
        <w:r w:rsidR="008E3BE0">
          <w:rPr>
            <w:noProof/>
            <w:webHidden/>
          </w:rPr>
          <w:fldChar w:fldCharType="end"/>
        </w:r>
      </w:hyperlink>
    </w:p>
    <w:p w14:paraId="2F351C13" w14:textId="2F95B7D9"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25" w:history="1">
        <w:r w:rsidR="008E3BE0" w:rsidRPr="00B27902">
          <w:rPr>
            <w:rStyle w:val="Hyperlink"/>
            <w:noProof/>
          </w:rPr>
          <w:t>2.5</w:t>
        </w:r>
        <w:r w:rsidR="008E3BE0">
          <w:rPr>
            <w:rFonts w:eastAsiaTheme="minorEastAsia" w:cstheme="minorBidi"/>
            <w:smallCaps w:val="0"/>
            <w:noProof/>
            <w:sz w:val="22"/>
            <w:szCs w:val="22"/>
            <w:lang w:eastAsia="en-GB" w:bidi="ar-SA"/>
          </w:rPr>
          <w:tab/>
        </w:r>
        <w:r w:rsidR="008E3BE0" w:rsidRPr="00B27902">
          <w:rPr>
            <w:rStyle w:val="Hyperlink"/>
            <w:noProof/>
          </w:rPr>
          <w:t>Food technology conclusion</w:t>
        </w:r>
        <w:r w:rsidR="008E3BE0">
          <w:rPr>
            <w:noProof/>
            <w:webHidden/>
          </w:rPr>
          <w:tab/>
        </w:r>
        <w:r w:rsidR="008E3BE0">
          <w:rPr>
            <w:noProof/>
            <w:webHidden/>
          </w:rPr>
          <w:fldChar w:fldCharType="begin"/>
        </w:r>
        <w:r w:rsidR="008E3BE0">
          <w:rPr>
            <w:noProof/>
            <w:webHidden/>
          </w:rPr>
          <w:instrText xml:space="preserve"> PAGEREF _Toc101521525 \h </w:instrText>
        </w:r>
        <w:r w:rsidR="008E3BE0">
          <w:rPr>
            <w:noProof/>
            <w:webHidden/>
          </w:rPr>
        </w:r>
        <w:r w:rsidR="008E3BE0">
          <w:rPr>
            <w:noProof/>
            <w:webHidden/>
          </w:rPr>
          <w:fldChar w:fldCharType="separate"/>
        </w:r>
        <w:r w:rsidR="008E3BE0">
          <w:rPr>
            <w:noProof/>
            <w:webHidden/>
          </w:rPr>
          <w:t>6</w:t>
        </w:r>
        <w:r w:rsidR="008E3BE0">
          <w:rPr>
            <w:noProof/>
            <w:webHidden/>
          </w:rPr>
          <w:fldChar w:fldCharType="end"/>
        </w:r>
      </w:hyperlink>
    </w:p>
    <w:p w14:paraId="2382D275" w14:textId="2260D6A8" w:rsidR="008E3BE0" w:rsidRDefault="00F00CC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521526" w:history="1">
        <w:r w:rsidR="008E3BE0" w:rsidRPr="00B27902">
          <w:rPr>
            <w:rStyle w:val="Hyperlink"/>
            <w:noProof/>
            <w:lang w:val="en-AU"/>
          </w:rPr>
          <w:t>3</w:t>
        </w:r>
        <w:r w:rsidR="008E3BE0">
          <w:rPr>
            <w:rFonts w:eastAsiaTheme="minorEastAsia" w:cstheme="minorBidi"/>
            <w:b w:val="0"/>
            <w:bCs w:val="0"/>
            <w:caps w:val="0"/>
            <w:noProof/>
            <w:sz w:val="22"/>
            <w:szCs w:val="22"/>
            <w:lang w:eastAsia="en-GB" w:bidi="ar-SA"/>
          </w:rPr>
          <w:tab/>
        </w:r>
        <w:r w:rsidR="008E3BE0" w:rsidRPr="00B27902">
          <w:rPr>
            <w:rStyle w:val="Hyperlink"/>
            <w:noProof/>
            <w:lang w:val="en-AU"/>
          </w:rPr>
          <w:t>Safety assessment</w:t>
        </w:r>
        <w:r w:rsidR="008E3BE0">
          <w:rPr>
            <w:noProof/>
            <w:webHidden/>
          </w:rPr>
          <w:tab/>
        </w:r>
        <w:r w:rsidR="008E3BE0">
          <w:rPr>
            <w:noProof/>
            <w:webHidden/>
          </w:rPr>
          <w:fldChar w:fldCharType="begin"/>
        </w:r>
        <w:r w:rsidR="008E3BE0">
          <w:rPr>
            <w:noProof/>
            <w:webHidden/>
          </w:rPr>
          <w:instrText xml:space="preserve"> PAGEREF _Toc101521526 \h </w:instrText>
        </w:r>
        <w:r w:rsidR="008E3BE0">
          <w:rPr>
            <w:noProof/>
            <w:webHidden/>
          </w:rPr>
        </w:r>
        <w:r w:rsidR="008E3BE0">
          <w:rPr>
            <w:noProof/>
            <w:webHidden/>
          </w:rPr>
          <w:fldChar w:fldCharType="separate"/>
        </w:r>
        <w:r w:rsidR="008E3BE0">
          <w:rPr>
            <w:noProof/>
            <w:webHidden/>
          </w:rPr>
          <w:t>7</w:t>
        </w:r>
        <w:r w:rsidR="008E3BE0">
          <w:rPr>
            <w:noProof/>
            <w:webHidden/>
          </w:rPr>
          <w:fldChar w:fldCharType="end"/>
        </w:r>
      </w:hyperlink>
    </w:p>
    <w:p w14:paraId="6CD085E7" w14:textId="24DDB8CB"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27" w:history="1">
        <w:r w:rsidR="008E3BE0" w:rsidRPr="00B27902">
          <w:rPr>
            <w:rStyle w:val="Hyperlink"/>
            <w:noProof/>
          </w:rPr>
          <w:t>3.1</w:t>
        </w:r>
        <w:r w:rsidR="008E3BE0">
          <w:rPr>
            <w:rFonts w:eastAsiaTheme="minorEastAsia" w:cstheme="minorBidi"/>
            <w:smallCaps w:val="0"/>
            <w:noProof/>
            <w:sz w:val="22"/>
            <w:szCs w:val="22"/>
            <w:lang w:eastAsia="en-GB" w:bidi="ar-SA"/>
          </w:rPr>
          <w:tab/>
        </w:r>
        <w:r w:rsidR="008E3BE0" w:rsidRPr="00B27902">
          <w:rPr>
            <w:rStyle w:val="Hyperlink"/>
            <w:noProof/>
          </w:rPr>
          <w:t>History of use</w:t>
        </w:r>
        <w:r w:rsidR="008E3BE0">
          <w:rPr>
            <w:noProof/>
            <w:webHidden/>
          </w:rPr>
          <w:tab/>
        </w:r>
        <w:r w:rsidR="008E3BE0">
          <w:rPr>
            <w:noProof/>
            <w:webHidden/>
          </w:rPr>
          <w:fldChar w:fldCharType="begin"/>
        </w:r>
        <w:r w:rsidR="008E3BE0">
          <w:rPr>
            <w:noProof/>
            <w:webHidden/>
          </w:rPr>
          <w:instrText xml:space="preserve"> PAGEREF _Toc101521527 \h </w:instrText>
        </w:r>
        <w:r w:rsidR="008E3BE0">
          <w:rPr>
            <w:noProof/>
            <w:webHidden/>
          </w:rPr>
        </w:r>
        <w:r w:rsidR="008E3BE0">
          <w:rPr>
            <w:noProof/>
            <w:webHidden/>
          </w:rPr>
          <w:fldChar w:fldCharType="separate"/>
        </w:r>
        <w:r w:rsidR="008E3BE0">
          <w:rPr>
            <w:noProof/>
            <w:webHidden/>
          </w:rPr>
          <w:t>7</w:t>
        </w:r>
        <w:r w:rsidR="008E3BE0">
          <w:rPr>
            <w:noProof/>
            <w:webHidden/>
          </w:rPr>
          <w:fldChar w:fldCharType="end"/>
        </w:r>
      </w:hyperlink>
    </w:p>
    <w:p w14:paraId="16ADDFFD" w14:textId="38B5EFE6"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28" w:history="1">
        <w:r w:rsidR="008E3BE0" w:rsidRPr="00B27902">
          <w:rPr>
            <w:rStyle w:val="Hyperlink"/>
            <w:noProof/>
          </w:rPr>
          <w:t>3.1.1</w:t>
        </w:r>
        <w:r w:rsidR="008E3BE0">
          <w:rPr>
            <w:rFonts w:eastAsiaTheme="minorEastAsia" w:cstheme="minorBidi"/>
            <w:i w:val="0"/>
            <w:iCs w:val="0"/>
            <w:noProof/>
            <w:sz w:val="22"/>
            <w:szCs w:val="22"/>
            <w:lang w:eastAsia="en-GB" w:bidi="ar-SA"/>
          </w:rPr>
          <w:tab/>
        </w:r>
        <w:r w:rsidR="008E3BE0" w:rsidRPr="00B27902">
          <w:rPr>
            <w:rStyle w:val="Hyperlink"/>
            <w:noProof/>
          </w:rPr>
          <w:t>Host organism</w:t>
        </w:r>
        <w:r w:rsidR="008E3BE0">
          <w:rPr>
            <w:noProof/>
            <w:webHidden/>
          </w:rPr>
          <w:tab/>
        </w:r>
        <w:r w:rsidR="008E3BE0">
          <w:rPr>
            <w:noProof/>
            <w:webHidden/>
          </w:rPr>
          <w:fldChar w:fldCharType="begin"/>
        </w:r>
        <w:r w:rsidR="008E3BE0">
          <w:rPr>
            <w:noProof/>
            <w:webHidden/>
          </w:rPr>
          <w:instrText xml:space="preserve"> PAGEREF _Toc101521528 \h </w:instrText>
        </w:r>
        <w:r w:rsidR="008E3BE0">
          <w:rPr>
            <w:noProof/>
            <w:webHidden/>
          </w:rPr>
        </w:r>
        <w:r w:rsidR="008E3BE0">
          <w:rPr>
            <w:noProof/>
            <w:webHidden/>
          </w:rPr>
          <w:fldChar w:fldCharType="separate"/>
        </w:r>
        <w:r w:rsidR="008E3BE0">
          <w:rPr>
            <w:noProof/>
            <w:webHidden/>
          </w:rPr>
          <w:t>7</w:t>
        </w:r>
        <w:r w:rsidR="008E3BE0">
          <w:rPr>
            <w:noProof/>
            <w:webHidden/>
          </w:rPr>
          <w:fldChar w:fldCharType="end"/>
        </w:r>
      </w:hyperlink>
    </w:p>
    <w:p w14:paraId="2776A422" w14:textId="36E85FB0"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29" w:history="1">
        <w:r w:rsidR="008E3BE0" w:rsidRPr="00B27902">
          <w:rPr>
            <w:rStyle w:val="Hyperlink"/>
            <w:noProof/>
          </w:rPr>
          <w:t>3.1.2</w:t>
        </w:r>
        <w:r w:rsidR="008E3BE0">
          <w:rPr>
            <w:rFonts w:eastAsiaTheme="minorEastAsia" w:cstheme="minorBidi"/>
            <w:i w:val="0"/>
            <w:iCs w:val="0"/>
            <w:noProof/>
            <w:sz w:val="22"/>
            <w:szCs w:val="22"/>
            <w:lang w:eastAsia="en-GB" w:bidi="ar-SA"/>
          </w:rPr>
          <w:tab/>
        </w:r>
        <w:r w:rsidR="008E3BE0" w:rsidRPr="00B27902">
          <w:rPr>
            <w:rStyle w:val="Hyperlink"/>
            <w:noProof/>
          </w:rPr>
          <w:t>Gene donor organisms</w:t>
        </w:r>
        <w:r w:rsidR="008E3BE0">
          <w:rPr>
            <w:noProof/>
            <w:webHidden/>
          </w:rPr>
          <w:tab/>
        </w:r>
        <w:r w:rsidR="008E3BE0">
          <w:rPr>
            <w:noProof/>
            <w:webHidden/>
          </w:rPr>
          <w:fldChar w:fldCharType="begin"/>
        </w:r>
        <w:r w:rsidR="008E3BE0">
          <w:rPr>
            <w:noProof/>
            <w:webHidden/>
          </w:rPr>
          <w:instrText xml:space="preserve"> PAGEREF _Toc101521529 \h </w:instrText>
        </w:r>
        <w:r w:rsidR="008E3BE0">
          <w:rPr>
            <w:noProof/>
            <w:webHidden/>
          </w:rPr>
        </w:r>
        <w:r w:rsidR="008E3BE0">
          <w:rPr>
            <w:noProof/>
            <w:webHidden/>
          </w:rPr>
          <w:fldChar w:fldCharType="separate"/>
        </w:r>
        <w:r w:rsidR="008E3BE0">
          <w:rPr>
            <w:noProof/>
            <w:webHidden/>
          </w:rPr>
          <w:t>7</w:t>
        </w:r>
        <w:r w:rsidR="008E3BE0">
          <w:rPr>
            <w:noProof/>
            <w:webHidden/>
          </w:rPr>
          <w:fldChar w:fldCharType="end"/>
        </w:r>
      </w:hyperlink>
    </w:p>
    <w:p w14:paraId="0D83812C" w14:textId="211FB092"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30" w:history="1">
        <w:r w:rsidR="008E3BE0" w:rsidRPr="00B27902">
          <w:rPr>
            <w:rStyle w:val="Hyperlink"/>
            <w:noProof/>
          </w:rPr>
          <w:t>3.2</w:t>
        </w:r>
        <w:r w:rsidR="008E3BE0">
          <w:rPr>
            <w:rFonts w:eastAsiaTheme="minorEastAsia" w:cstheme="minorBidi"/>
            <w:smallCaps w:val="0"/>
            <w:noProof/>
            <w:sz w:val="22"/>
            <w:szCs w:val="22"/>
            <w:lang w:eastAsia="en-GB" w:bidi="ar-SA"/>
          </w:rPr>
          <w:tab/>
        </w:r>
        <w:r w:rsidR="008E3BE0" w:rsidRPr="00B27902">
          <w:rPr>
            <w:rStyle w:val="Hyperlink"/>
            <w:noProof/>
          </w:rPr>
          <w:t>Characterisation of the genetic modification(s)</w:t>
        </w:r>
        <w:r w:rsidR="008E3BE0">
          <w:rPr>
            <w:noProof/>
            <w:webHidden/>
          </w:rPr>
          <w:tab/>
        </w:r>
        <w:r w:rsidR="008E3BE0">
          <w:rPr>
            <w:noProof/>
            <w:webHidden/>
          </w:rPr>
          <w:fldChar w:fldCharType="begin"/>
        </w:r>
        <w:r w:rsidR="008E3BE0">
          <w:rPr>
            <w:noProof/>
            <w:webHidden/>
          </w:rPr>
          <w:instrText xml:space="preserve"> PAGEREF _Toc101521530 \h </w:instrText>
        </w:r>
        <w:r w:rsidR="008E3BE0">
          <w:rPr>
            <w:noProof/>
            <w:webHidden/>
          </w:rPr>
        </w:r>
        <w:r w:rsidR="008E3BE0">
          <w:rPr>
            <w:noProof/>
            <w:webHidden/>
          </w:rPr>
          <w:fldChar w:fldCharType="separate"/>
        </w:r>
        <w:r w:rsidR="008E3BE0">
          <w:rPr>
            <w:noProof/>
            <w:webHidden/>
          </w:rPr>
          <w:t>7</w:t>
        </w:r>
        <w:r w:rsidR="008E3BE0">
          <w:rPr>
            <w:noProof/>
            <w:webHidden/>
          </w:rPr>
          <w:fldChar w:fldCharType="end"/>
        </w:r>
      </w:hyperlink>
    </w:p>
    <w:p w14:paraId="08FF4024" w14:textId="0088BA36"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1" w:history="1">
        <w:r w:rsidR="008E3BE0" w:rsidRPr="00B27902">
          <w:rPr>
            <w:rStyle w:val="Hyperlink"/>
            <w:noProof/>
          </w:rPr>
          <w:t>3.2.1</w:t>
        </w:r>
        <w:r w:rsidR="008E3BE0">
          <w:rPr>
            <w:rFonts w:eastAsiaTheme="minorEastAsia" w:cstheme="minorBidi"/>
            <w:i w:val="0"/>
            <w:iCs w:val="0"/>
            <w:noProof/>
            <w:sz w:val="22"/>
            <w:szCs w:val="22"/>
            <w:lang w:eastAsia="en-GB" w:bidi="ar-SA"/>
          </w:rPr>
          <w:tab/>
        </w:r>
        <w:r w:rsidR="008E3BE0" w:rsidRPr="00B27902">
          <w:rPr>
            <w:rStyle w:val="Hyperlink"/>
            <w:noProof/>
          </w:rPr>
          <w:t>Description of the DNA to be introduced and method of transformation</w:t>
        </w:r>
        <w:r w:rsidR="008E3BE0">
          <w:rPr>
            <w:noProof/>
            <w:webHidden/>
          </w:rPr>
          <w:tab/>
        </w:r>
        <w:r w:rsidR="008E3BE0">
          <w:rPr>
            <w:noProof/>
            <w:webHidden/>
          </w:rPr>
          <w:fldChar w:fldCharType="begin"/>
        </w:r>
        <w:r w:rsidR="008E3BE0">
          <w:rPr>
            <w:noProof/>
            <w:webHidden/>
          </w:rPr>
          <w:instrText xml:space="preserve"> PAGEREF _Toc101521531 \h </w:instrText>
        </w:r>
        <w:r w:rsidR="008E3BE0">
          <w:rPr>
            <w:noProof/>
            <w:webHidden/>
          </w:rPr>
        </w:r>
        <w:r w:rsidR="008E3BE0">
          <w:rPr>
            <w:noProof/>
            <w:webHidden/>
          </w:rPr>
          <w:fldChar w:fldCharType="separate"/>
        </w:r>
        <w:r w:rsidR="008E3BE0">
          <w:rPr>
            <w:noProof/>
            <w:webHidden/>
          </w:rPr>
          <w:t>7</w:t>
        </w:r>
        <w:r w:rsidR="008E3BE0">
          <w:rPr>
            <w:noProof/>
            <w:webHidden/>
          </w:rPr>
          <w:fldChar w:fldCharType="end"/>
        </w:r>
      </w:hyperlink>
    </w:p>
    <w:p w14:paraId="434C5FAC" w14:textId="783F74F9"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2" w:history="1">
        <w:r w:rsidR="008E3BE0" w:rsidRPr="00B27902">
          <w:rPr>
            <w:rStyle w:val="Hyperlink"/>
            <w:noProof/>
          </w:rPr>
          <w:t>3.2.2</w:t>
        </w:r>
        <w:r w:rsidR="008E3BE0">
          <w:rPr>
            <w:rFonts w:eastAsiaTheme="minorEastAsia" w:cstheme="minorBidi"/>
            <w:i w:val="0"/>
            <w:iCs w:val="0"/>
            <w:noProof/>
            <w:sz w:val="22"/>
            <w:szCs w:val="22"/>
            <w:lang w:eastAsia="en-GB" w:bidi="ar-SA"/>
          </w:rPr>
          <w:tab/>
        </w:r>
        <w:r w:rsidR="008E3BE0" w:rsidRPr="00B27902">
          <w:rPr>
            <w:rStyle w:val="Hyperlink"/>
            <w:noProof/>
          </w:rPr>
          <w:t>Characterisation of inserted DNA</w:t>
        </w:r>
        <w:r w:rsidR="008E3BE0">
          <w:rPr>
            <w:noProof/>
            <w:webHidden/>
          </w:rPr>
          <w:tab/>
        </w:r>
        <w:r w:rsidR="008E3BE0">
          <w:rPr>
            <w:noProof/>
            <w:webHidden/>
          </w:rPr>
          <w:fldChar w:fldCharType="begin"/>
        </w:r>
        <w:r w:rsidR="008E3BE0">
          <w:rPr>
            <w:noProof/>
            <w:webHidden/>
          </w:rPr>
          <w:instrText xml:space="preserve"> PAGEREF _Toc101521532 \h </w:instrText>
        </w:r>
        <w:r w:rsidR="008E3BE0">
          <w:rPr>
            <w:noProof/>
            <w:webHidden/>
          </w:rPr>
        </w:r>
        <w:r w:rsidR="008E3BE0">
          <w:rPr>
            <w:noProof/>
            <w:webHidden/>
          </w:rPr>
          <w:fldChar w:fldCharType="separate"/>
        </w:r>
        <w:r w:rsidR="008E3BE0">
          <w:rPr>
            <w:noProof/>
            <w:webHidden/>
          </w:rPr>
          <w:t>8</w:t>
        </w:r>
        <w:r w:rsidR="008E3BE0">
          <w:rPr>
            <w:noProof/>
            <w:webHidden/>
          </w:rPr>
          <w:fldChar w:fldCharType="end"/>
        </w:r>
      </w:hyperlink>
    </w:p>
    <w:p w14:paraId="63FF24F8" w14:textId="0F56C404"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3" w:history="1">
        <w:r w:rsidR="008E3BE0" w:rsidRPr="00B27902">
          <w:rPr>
            <w:rStyle w:val="Hyperlink"/>
            <w:noProof/>
          </w:rPr>
          <w:t>3.2.3</w:t>
        </w:r>
        <w:r w:rsidR="008E3BE0">
          <w:rPr>
            <w:rFonts w:eastAsiaTheme="minorEastAsia" w:cstheme="minorBidi"/>
            <w:i w:val="0"/>
            <w:iCs w:val="0"/>
            <w:noProof/>
            <w:sz w:val="22"/>
            <w:szCs w:val="22"/>
            <w:lang w:eastAsia="en-GB" w:bidi="ar-SA"/>
          </w:rPr>
          <w:tab/>
        </w:r>
        <w:r w:rsidR="008E3BE0" w:rsidRPr="00B27902">
          <w:rPr>
            <w:rStyle w:val="Hyperlink"/>
            <w:noProof/>
          </w:rPr>
          <w:t>Genetic stability of the inserted gene</w:t>
        </w:r>
        <w:r w:rsidR="008E3BE0">
          <w:rPr>
            <w:noProof/>
            <w:webHidden/>
          </w:rPr>
          <w:tab/>
        </w:r>
        <w:r w:rsidR="008E3BE0">
          <w:rPr>
            <w:noProof/>
            <w:webHidden/>
          </w:rPr>
          <w:fldChar w:fldCharType="begin"/>
        </w:r>
        <w:r w:rsidR="008E3BE0">
          <w:rPr>
            <w:noProof/>
            <w:webHidden/>
          </w:rPr>
          <w:instrText xml:space="preserve"> PAGEREF _Toc101521533 \h </w:instrText>
        </w:r>
        <w:r w:rsidR="008E3BE0">
          <w:rPr>
            <w:noProof/>
            <w:webHidden/>
          </w:rPr>
        </w:r>
        <w:r w:rsidR="008E3BE0">
          <w:rPr>
            <w:noProof/>
            <w:webHidden/>
          </w:rPr>
          <w:fldChar w:fldCharType="separate"/>
        </w:r>
        <w:r w:rsidR="008E3BE0">
          <w:rPr>
            <w:noProof/>
            <w:webHidden/>
          </w:rPr>
          <w:t>8</w:t>
        </w:r>
        <w:r w:rsidR="008E3BE0">
          <w:rPr>
            <w:noProof/>
            <w:webHidden/>
          </w:rPr>
          <w:fldChar w:fldCharType="end"/>
        </w:r>
      </w:hyperlink>
    </w:p>
    <w:p w14:paraId="4E3A35FA" w14:textId="325DDA19"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34" w:history="1">
        <w:r w:rsidR="008E3BE0" w:rsidRPr="00B27902">
          <w:rPr>
            <w:rStyle w:val="Hyperlink"/>
            <w:noProof/>
            <w:lang w:val="en-AU"/>
          </w:rPr>
          <w:t>3.3</w:t>
        </w:r>
        <w:r w:rsidR="008E3BE0">
          <w:rPr>
            <w:rFonts w:eastAsiaTheme="minorEastAsia" w:cstheme="minorBidi"/>
            <w:smallCaps w:val="0"/>
            <w:noProof/>
            <w:sz w:val="22"/>
            <w:szCs w:val="22"/>
            <w:lang w:eastAsia="en-GB" w:bidi="ar-SA"/>
          </w:rPr>
          <w:tab/>
        </w:r>
        <w:r w:rsidR="008E3BE0" w:rsidRPr="00B27902">
          <w:rPr>
            <w:rStyle w:val="Hyperlink"/>
            <w:noProof/>
          </w:rPr>
          <w:t xml:space="preserve">Safety of </w:t>
        </w:r>
        <w:r w:rsidR="008E3BE0" w:rsidRPr="00B27902">
          <w:rPr>
            <w:rStyle w:val="Hyperlink"/>
            <w:rFonts w:eastAsia="Calibri"/>
            <w:noProof/>
          </w:rPr>
          <w:t>thermomycolin</w:t>
        </w:r>
        <w:r w:rsidR="008E3BE0">
          <w:rPr>
            <w:noProof/>
            <w:webHidden/>
          </w:rPr>
          <w:tab/>
        </w:r>
        <w:r w:rsidR="008E3BE0">
          <w:rPr>
            <w:noProof/>
            <w:webHidden/>
          </w:rPr>
          <w:fldChar w:fldCharType="begin"/>
        </w:r>
        <w:r w:rsidR="008E3BE0">
          <w:rPr>
            <w:noProof/>
            <w:webHidden/>
          </w:rPr>
          <w:instrText xml:space="preserve"> PAGEREF _Toc101521534 \h </w:instrText>
        </w:r>
        <w:r w:rsidR="008E3BE0">
          <w:rPr>
            <w:noProof/>
            <w:webHidden/>
          </w:rPr>
        </w:r>
        <w:r w:rsidR="008E3BE0">
          <w:rPr>
            <w:noProof/>
            <w:webHidden/>
          </w:rPr>
          <w:fldChar w:fldCharType="separate"/>
        </w:r>
        <w:r w:rsidR="008E3BE0">
          <w:rPr>
            <w:noProof/>
            <w:webHidden/>
          </w:rPr>
          <w:t>8</w:t>
        </w:r>
        <w:r w:rsidR="008E3BE0">
          <w:rPr>
            <w:noProof/>
            <w:webHidden/>
          </w:rPr>
          <w:fldChar w:fldCharType="end"/>
        </w:r>
      </w:hyperlink>
    </w:p>
    <w:p w14:paraId="2A35A9A3" w14:textId="0697461F"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5" w:history="1">
        <w:r w:rsidR="008E3BE0" w:rsidRPr="00B27902">
          <w:rPr>
            <w:rStyle w:val="Hyperlink"/>
            <w:noProof/>
          </w:rPr>
          <w:t>3.3.1</w:t>
        </w:r>
        <w:r w:rsidR="008E3BE0">
          <w:rPr>
            <w:rFonts w:eastAsiaTheme="minorEastAsia" w:cstheme="minorBidi"/>
            <w:i w:val="0"/>
            <w:iCs w:val="0"/>
            <w:noProof/>
            <w:sz w:val="22"/>
            <w:szCs w:val="22"/>
            <w:lang w:eastAsia="en-GB" w:bidi="ar-SA"/>
          </w:rPr>
          <w:tab/>
        </w:r>
        <w:r w:rsidR="008E3BE0" w:rsidRPr="00B27902">
          <w:rPr>
            <w:rStyle w:val="Hyperlink"/>
            <w:noProof/>
          </w:rPr>
          <w:t>History of safe use</w:t>
        </w:r>
        <w:r w:rsidR="008E3BE0">
          <w:rPr>
            <w:noProof/>
            <w:webHidden/>
          </w:rPr>
          <w:tab/>
        </w:r>
        <w:r w:rsidR="008E3BE0">
          <w:rPr>
            <w:noProof/>
            <w:webHidden/>
          </w:rPr>
          <w:fldChar w:fldCharType="begin"/>
        </w:r>
        <w:r w:rsidR="008E3BE0">
          <w:rPr>
            <w:noProof/>
            <w:webHidden/>
          </w:rPr>
          <w:instrText xml:space="preserve"> PAGEREF _Toc101521535 \h </w:instrText>
        </w:r>
        <w:r w:rsidR="008E3BE0">
          <w:rPr>
            <w:noProof/>
            <w:webHidden/>
          </w:rPr>
        </w:r>
        <w:r w:rsidR="008E3BE0">
          <w:rPr>
            <w:noProof/>
            <w:webHidden/>
          </w:rPr>
          <w:fldChar w:fldCharType="separate"/>
        </w:r>
        <w:r w:rsidR="008E3BE0">
          <w:rPr>
            <w:noProof/>
            <w:webHidden/>
          </w:rPr>
          <w:t>8</w:t>
        </w:r>
        <w:r w:rsidR="008E3BE0">
          <w:rPr>
            <w:noProof/>
            <w:webHidden/>
          </w:rPr>
          <w:fldChar w:fldCharType="end"/>
        </w:r>
      </w:hyperlink>
    </w:p>
    <w:p w14:paraId="67B9A8AE" w14:textId="03AFCA5D"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6" w:history="1">
        <w:r w:rsidR="008E3BE0" w:rsidRPr="00B27902">
          <w:rPr>
            <w:rStyle w:val="Hyperlink"/>
            <w:noProof/>
          </w:rPr>
          <w:t>3.3.2</w:t>
        </w:r>
        <w:r w:rsidR="008E3BE0">
          <w:rPr>
            <w:rFonts w:eastAsiaTheme="minorEastAsia" w:cstheme="minorBidi"/>
            <w:i w:val="0"/>
            <w:iCs w:val="0"/>
            <w:noProof/>
            <w:sz w:val="22"/>
            <w:szCs w:val="22"/>
            <w:lang w:eastAsia="en-GB" w:bidi="ar-SA"/>
          </w:rPr>
          <w:tab/>
        </w:r>
        <w:r w:rsidR="008E3BE0" w:rsidRPr="00B27902">
          <w:rPr>
            <w:rStyle w:val="Hyperlink"/>
            <w:noProof/>
          </w:rPr>
          <w:t>Bioinformatics concerning potential for toxicity</w:t>
        </w:r>
        <w:r w:rsidR="008E3BE0">
          <w:rPr>
            <w:noProof/>
            <w:webHidden/>
          </w:rPr>
          <w:tab/>
        </w:r>
        <w:r w:rsidR="008E3BE0">
          <w:rPr>
            <w:noProof/>
            <w:webHidden/>
          </w:rPr>
          <w:fldChar w:fldCharType="begin"/>
        </w:r>
        <w:r w:rsidR="008E3BE0">
          <w:rPr>
            <w:noProof/>
            <w:webHidden/>
          </w:rPr>
          <w:instrText xml:space="preserve"> PAGEREF _Toc101521536 \h </w:instrText>
        </w:r>
        <w:r w:rsidR="008E3BE0">
          <w:rPr>
            <w:noProof/>
            <w:webHidden/>
          </w:rPr>
        </w:r>
        <w:r w:rsidR="008E3BE0">
          <w:rPr>
            <w:noProof/>
            <w:webHidden/>
          </w:rPr>
          <w:fldChar w:fldCharType="separate"/>
        </w:r>
        <w:r w:rsidR="008E3BE0">
          <w:rPr>
            <w:noProof/>
            <w:webHidden/>
          </w:rPr>
          <w:t>8</w:t>
        </w:r>
        <w:r w:rsidR="008E3BE0">
          <w:rPr>
            <w:noProof/>
            <w:webHidden/>
          </w:rPr>
          <w:fldChar w:fldCharType="end"/>
        </w:r>
      </w:hyperlink>
    </w:p>
    <w:p w14:paraId="58890C94" w14:textId="37101E78"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7" w:history="1">
        <w:r w:rsidR="008E3BE0" w:rsidRPr="00B27902">
          <w:rPr>
            <w:rStyle w:val="Hyperlink"/>
            <w:noProof/>
          </w:rPr>
          <w:t>3.3.3</w:t>
        </w:r>
        <w:r w:rsidR="008E3BE0">
          <w:rPr>
            <w:rFonts w:eastAsiaTheme="minorEastAsia" w:cstheme="minorBidi"/>
            <w:i w:val="0"/>
            <w:iCs w:val="0"/>
            <w:noProof/>
            <w:sz w:val="22"/>
            <w:szCs w:val="22"/>
            <w:lang w:eastAsia="en-GB" w:bidi="ar-SA"/>
          </w:rPr>
          <w:tab/>
        </w:r>
        <w:r w:rsidR="008E3BE0" w:rsidRPr="00B27902">
          <w:rPr>
            <w:rStyle w:val="Hyperlink"/>
            <w:noProof/>
          </w:rPr>
          <w:t>Evaluation of toxicity studies</w:t>
        </w:r>
        <w:r w:rsidR="008E3BE0">
          <w:rPr>
            <w:noProof/>
            <w:webHidden/>
          </w:rPr>
          <w:tab/>
        </w:r>
        <w:r w:rsidR="008E3BE0">
          <w:rPr>
            <w:noProof/>
            <w:webHidden/>
          </w:rPr>
          <w:fldChar w:fldCharType="begin"/>
        </w:r>
        <w:r w:rsidR="008E3BE0">
          <w:rPr>
            <w:noProof/>
            <w:webHidden/>
          </w:rPr>
          <w:instrText xml:space="preserve"> PAGEREF _Toc101521537 \h </w:instrText>
        </w:r>
        <w:r w:rsidR="008E3BE0">
          <w:rPr>
            <w:noProof/>
            <w:webHidden/>
          </w:rPr>
        </w:r>
        <w:r w:rsidR="008E3BE0">
          <w:rPr>
            <w:noProof/>
            <w:webHidden/>
          </w:rPr>
          <w:fldChar w:fldCharType="separate"/>
        </w:r>
        <w:r w:rsidR="008E3BE0">
          <w:rPr>
            <w:noProof/>
            <w:webHidden/>
          </w:rPr>
          <w:t>8</w:t>
        </w:r>
        <w:r w:rsidR="008E3BE0">
          <w:rPr>
            <w:noProof/>
            <w:webHidden/>
          </w:rPr>
          <w:fldChar w:fldCharType="end"/>
        </w:r>
      </w:hyperlink>
    </w:p>
    <w:p w14:paraId="1CB45CCA" w14:textId="53123DB4"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8" w:history="1">
        <w:r w:rsidR="008E3BE0" w:rsidRPr="00B27902">
          <w:rPr>
            <w:rStyle w:val="Hyperlink"/>
            <w:noProof/>
          </w:rPr>
          <w:t>3.3.5</w:t>
        </w:r>
        <w:r w:rsidR="008E3BE0">
          <w:rPr>
            <w:rFonts w:eastAsiaTheme="minorEastAsia" w:cstheme="minorBidi"/>
            <w:i w:val="0"/>
            <w:iCs w:val="0"/>
            <w:noProof/>
            <w:sz w:val="22"/>
            <w:szCs w:val="22"/>
            <w:lang w:eastAsia="en-GB" w:bidi="ar-SA"/>
          </w:rPr>
          <w:tab/>
        </w:r>
        <w:r w:rsidR="008E3BE0" w:rsidRPr="00B27902">
          <w:rPr>
            <w:rStyle w:val="Hyperlink"/>
            <w:noProof/>
          </w:rPr>
          <w:t>Potential for allergenicity</w:t>
        </w:r>
        <w:r w:rsidR="008E3BE0">
          <w:rPr>
            <w:noProof/>
            <w:webHidden/>
          </w:rPr>
          <w:tab/>
        </w:r>
        <w:r w:rsidR="008E3BE0">
          <w:rPr>
            <w:noProof/>
            <w:webHidden/>
          </w:rPr>
          <w:fldChar w:fldCharType="begin"/>
        </w:r>
        <w:r w:rsidR="008E3BE0">
          <w:rPr>
            <w:noProof/>
            <w:webHidden/>
          </w:rPr>
          <w:instrText xml:space="preserve"> PAGEREF _Toc101521538 \h </w:instrText>
        </w:r>
        <w:r w:rsidR="008E3BE0">
          <w:rPr>
            <w:noProof/>
            <w:webHidden/>
          </w:rPr>
        </w:r>
        <w:r w:rsidR="008E3BE0">
          <w:rPr>
            <w:noProof/>
            <w:webHidden/>
          </w:rPr>
          <w:fldChar w:fldCharType="separate"/>
        </w:r>
        <w:r w:rsidR="008E3BE0">
          <w:rPr>
            <w:noProof/>
            <w:webHidden/>
          </w:rPr>
          <w:t>10</w:t>
        </w:r>
        <w:r w:rsidR="008E3BE0">
          <w:rPr>
            <w:noProof/>
            <w:webHidden/>
          </w:rPr>
          <w:fldChar w:fldCharType="end"/>
        </w:r>
      </w:hyperlink>
    </w:p>
    <w:p w14:paraId="4E586EC0" w14:textId="4B50F414" w:rsidR="008E3BE0" w:rsidRDefault="00F00CC7">
      <w:pPr>
        <w:pStyle w:val="TOC3"/>
        <w:tabs>
          <w:tab w:val="left" w:pos="1100"/>
          <w:tab w:val="right" w:leader="dot" w:pos="9060"/>
        </w:tabs>
        <w:rPr>
          <w:rFonts w:eastAsiaTheme="minorEastAsia" w:cstheme="minorBidi"/>
          <w:i w:val="0"/>
          <w:iCs w:val="0"/>
          <w:noProof/>
          <w:sz w:val="22"/>
          <w:szCs w:val="22"/>
          <w:lang w:eastAsia="en-GB" w:bidi="ar-SA"/>
        </w:rPr>
      </w:pPr>
      <w:hyperlink w:anchor="_Toc101521539" w:history="1">
        <w:r w:rsidR="008E3BE0" w:rsidRPr="00B27902">
          <w:rPr>
            <w:rStyle w:val="Hyperlink"/>
            <w:noProof/>
          </w:rPr>
          <w:t>3.3.6</w:t>
        </w:r>
        <w:r w:rsidR="008E3BE0">
          <w:rPr>
            <w:rFonts w:eastAsiaTheme="minorEastAsia" w:cstheme="minorBidi"/>
            <w:i w:val="0"/>
            <w:iCs w:val="0"/>
            <w:noProof/>
            <w:sz w:val="22"/>
            <w:szCs w:val="22"/>
            <w:lang w:eastAsia="en-GB" w:bidi="ar-SA"/>
          </w:rPr>
          <w:tab/>
        </w:r>
        <w:r w:rsidR="008E3BE0" w:rsidRPr="00B27902">
          <w:rPr>
            <w:rStyle w:val="Hyperlink"/>
            <w:noProof/>
          </w:rPr>
          <w:t>Assessments by other regulatory agencies</w:t>
        </w:r>
        <w:r w:rsidR="008E3BE0">
          <w:rPr>
            <w:noProof/>
            <w:webHidden/>
          </w:rPr>
          <w:tab/>
        </w:r>
        <w:r w:rsidR="008E3BE0">
          <w:rPr>
            <w:noProof/>
            <w:webHidden/>
          </w:rPr>
          <w:fldChar w:fldCharType="begin"/>
        </w:r>
        <w:r w:rsidR="008E3BE0">
          <w:rPr>
            <w:noProof/>
            <w:webHidden/>
          </w:rPr>
          <w:instrText xml:space="preserve"> PAGEREF _Toc101521539 \h </w:instrText>
        </w:r>
        <w:r w:rsidR="008E3BE0">
          <w:rPr>
            <w:noProof/>
            <w:webHidden/>
          </w:rPr>
        </w:r>
        <w:r w:rsidR="008E3BE0">
          <w:rPr>
            <w:noProof/>
            <w:webHidden/>
          </w:rPr>
          <w:fldChar w:fldCharType="separate"/>
        </w:r>
        <w:r w:rsidR="008E3BE0">
          <w:rPr>
            <w:noProof/>
            <w:webHidden/>
          </w:rPr>
          <w:t>10</w:t>
        </w:r>
        <w:r w:rsidR="008E3BE0">
          <w:rPr>
            <w:noProof/>
            <w:webHidden/>
          </w:rPr>
          <w:fldChar w:fldCharType="end"/>
        </w:r>
      </w:hyperlink>
    </w:p>
    <w:p w14:paraId="319D8C86" w14:textId="4F36CC94" w:rsidR="008E3BE0" w:rsidRDefault="00F00CC7">
      <w:pPr>
        <w:pStyle w:val="TOC2"/>
        <w:tabs>
          <w:tab w:val="left" w:pos="880"/>
          <w:tab w:val="right" w:leader="dot" w:pos="9060"/>
        </w:tabs>
        <w:rPr>
          <w:rFonts w:eastAsiaTheme="minorEastAsia" w:cstheme="minorBidi"/>
          <w:smallCaps w:val="0"/>
          <w:noProof/>
          <w:sz w:val="22"/>
          <w:szCs w:val="22"/>
          <w:lang w:eastAsia="en-GB" w:bidi="ar-SA"/>
        </w:rPr>
      </w:pPr>
      <w:hyperlink w:anchor="_Toc101521540" w:history="1">
        <w:r w:rsidR="008E3BE0" w:rsidRPr="00B27902">
          <w:rPr>
            <w:rStyle w:val="Hyperlink"/>
            <w:noProof/>
          </w:rPr>
          <w:t>3.4</w:t>
        </w:r>
        <w:r w:rsidR="008E3BE0">
          <w:rPr>
            <w:rFonts w:eastAsiaTheme="minorEastAsia" w:cstheme="minorBidi"/>
            <w:smallCaps w:val="0"/>
            <w:noProof/>
            <w:sz w:val="22"/>
            <w:szCs w:val="22"/>
            <w:lang w:eastAsia="en-GB" w:bidi="ar-SA"/>
          </w:rPr>
          <w:tab/>
        </w:r>
        <w:r w:rsidR="008E3BE0" w:rsidRPr="00B27902">
          <w:rPr>
            <w:rStyle w:val="Hyperlink"/>
            <w:noProof/>
          </w:rPr>
          <w:t>Dietary exposure assessment</w:t>
        </w:r>
        <w:r w:rsidR="008E3BE0">
          <w:rPr>
            <w:noProof/>
            <w:webHidden/>
          </w:rPr>
          <w:tab/>
        </w:r>
        <w:r w:rsidR="008E3BE0">
          <w:rPr>
            <w:noProof/>
            <w:webHidden/>
          </w:rPr>
          <w:fldChar w:fldCharType="begin"/>
        </w:r>
        <w:r w:rsidR="008E3BE0">
          <w:rPr>
            <w:noProof/>
            <w:webHidden/>
          </w:rPr>
          <w:instrText xml:space="preserve"> PAGEREF _Toc101521540 \h </w:instrText>
        </w:r>
        <w:r w:rsidR="008E3BE0">
          <w:rPr>
            <w:noProof/>
            <w:webHidden/>
          </w:rPr>
        </w:r>
        <w:r w:rsidR="008E3BE0">
          <w:rPr>
            <w:noProof/>
            <w:webHidden/>
          </w:rPr>
          <w:fldChar w:fldCharType="separate"/>
        </w:r>
        <w:r w:rsidR="008E3BE0">
          <w:rPr>
            <w:noProof/>
            <w:webHidden/>
          </w:rPr>
          <w:t>10</w:t>
        </w:r>
        <w:r w:rsidR="008E3BE0">
          <w:rPr>
            <w:noProof/>
            <w:webHidden/>
          </w:rPr>
          <w:fldChar w:fldCharType="end"/>
        </w:r>
      </w:hyperlink>
    </w:p>
    <w:p w14:paraId="0424C32E" w14:textId="117B55A0" w:rsidR="008E3BE0" w:rsidRDefault="00F00CC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521541" w:history="1">
        <w:r w:rsidR="008E3BE0" w:rsidRPr="00B27902">
          <w:rPr>
            <w:rStyle w:val="Hyperlink"/>
            <w:noProof/>
            <w:lang w:val="en-AU"/>
          </w:rPr>
          <w:t xml:space="preserve">4 </w:t>
        </w:r>
        <w:r w:rsidR="008E3BE0">
          <w:rPr>
            <w:rFonts w:eastAsiaTheme="minorEastAsia" w:cstheme="minorBidi"/>
            <w:b w:val="0"/>
            <w:bCs w:val="0"/>
            <w:caps w:val="0"/>
            <w:noProof/>
            <w:sz w:val="22"/>
            <w:szCs w:val="22"/>
            <w:lang w:eastAsia="en-GB" w:bidi="ar-SA"/>
          </w:rPr>
          <w:tab/>
        </w:r>
        <w:r w:rsidR="008E3BE0" w:rsidRPr="00B27902">
          <w:rPr>
            <w:rStyle w:val="Hyperlink"/>
            <w:noProof/>
            <w:lang w:val="en-AU"/>
          </w:rPr>
          <w:t>Discussion</w:t>
        </w:r>
        <w:r w:rsidR="008E3BE0">
          <w:rPr>
            <w:noProof/>
            <w:webHidden/>
          </w:rPr>
          <w:tab/>
        </w:r>
        <w:r w:rsidR="008E3BE0">
          <w:rPr>
            <w:noProof/>
            <w:webHidden/>
          </w:rPr>
          <w:fldChar w:fldCharType="begin"/>
        </w:r>
        <w:r w:rsidR="008E3BE0">
          <w:rPr>
            <w:noProof/>
            <w:webHidden/>
          </w:rPr>
          <w:instrText xml:space="preserve"> PAGEREF _Toc101521541 \h </w:instrText>
        </w:r>
        <w:r w:rsidR="008E3BE0">
          <w:rPr>
            <w:noProof/>
            <w:webHidden/>
          </w:rPr>
        </w:r>
        <w:r w:rsidR="008E3BE0">
          <w:rPr>
            <w:noProof/>
            <w:webHidden/>
          </w:rPr>
          <w:fldChar w:fldCharType="separate"/>
        </w:r>
        <w:r w:rsidR="008E3BE0">
          <w:rPr>
            <w:noProof/>
            <w:webHidden/>
          </w:rPr>
          <w:t>12</w:t>
        </w:r>
        <w:r w:rsidR="008E3BE0">
          <w:rPr>
            <w:noProof/>
            <w:webHidden/>
          </w:rPr>
          <w:fldChar w:fldCharType="end"/>
        </w:r>
      </w:hyperlink>
    </w:p>
    <w:p w14:paraId="11606EAA" w14:textId="55039851" w:rsidR="008E3BE0" w:rsidRDefault="00F00CC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521542" w:history="1">
        <w:r w:rsidR="008E3BE0" w:rsidRPr="00B27902">
          <w:rPr>
            <w:rStyle w:val="Hyperlink"/>
            <w:noProof/>
            <w:lang w:val="en-AU"/>
          </w:rPr>
          <w:t xml:space="preserve">5 </w:t>
        </w:r>
        <w:r w:rsidR="008E3BE0">
          <w:rPr>
            <w:rFonts w:eastAsiaTheme="minorEastAsia" w:cstheme="minorBidi"/>
            <w:b w:val="0"/>
            <w:bCs w:val="0"/>
            <w:caps w:val="0"/>
            <w:noProof/>
            <w:sz w:val="22"/>
            <w:szCs w:val="22"/>
            <w:lang w:eastAsia="en-GB" w:bidi="ar-SA"/>
          </w:rPr>
          <w:tab/>
        </w:r>
        <w:r w:rsidR="008E3BE0" w:rsidRPr="00B27902">
          <w:rPr>
            <w:rStyle w:val="Hyperlink"/>
            <w:noProof/>
            <w:lang w:val="en-AU"/>
          </w:rPr>
          <w:t>Conclusion</w:t>
        </w:r>
        <w:r w:rsidR="008E3BE0">
          <w:rPr>
            <w:noProof/>
            <w:webHidden/>
          </w:rPr>
          <w:tab/>
        </w:r>
        <w:r w:rsidR="008E3BE0">
          <w:rPr>
            <w:noProof/>
            <w:webHidden/>
          </w:rPr>
          <w:fldChar w:fldCharType="begin"/>
        </w:r>
        <w:r w:rsidR="008E3BE0">
          <w:rPr>
            <w:noProof/>
            <w:webHidden/>
          </w:rPr>
          <w:instrText xml:space="preserve"> PAGEREF _Toc101521542 \h </w:instrText>
        </w:r>
        <w:r w:rsidR="008E3BE0">
          <w:rPr>
            <w:noProof/>
            <w:webHidden/>
          </w:rPr>
        </w:r>
        <w:r w:rsidR="008E3BE0">
          <w:rPr>
            <w:noProof/>
            <w:webHidden/>
          </w:rPr>
          <w:fldChar w:fldCharType="separate"/>
        </w:r>
        <w:r w:rsidR="008E3BE0">
          <w:rPr>
            <w:noProof/>
            <w:webHidden/>
          </w:rPr>
          <w:t>12</w:t>
        </w:r>
        <w:r w:rsidR="008E3BE0">
          <w:rPr>
            <w:noProof/>
            <w:webHidden/>
          </w:rPr>
          <w:fldChar w:fldCharType="end"/>
        </w:r>
      </w:hyperlink>
    </w:p>
    <w:p w14:paraId="3B823704" w14:textId="444C33FE" w:rsidR="008E3BE0" w:rsidRDefault="00F00CC7">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521543" w:history="1">
        <w:r w:rsidR="008E3BE0" w:rsidRPr="00B27902">
          <w:rPr>
            <w:rStyle w:val="Hyperlink"/>
            <w:noProof/>
            <w:lang w:val="en-AU"/>
          </w:rPr>
          <w:t xml:space="preserve">6 </w:t>
        </w:r>
        <w:r w:rsidR="008E3BE0">
          <w:rPr>
            <w:rFonts w:eastAsiaTheme="minorEastAsia" w:cstheme="minorBidi"/>
            <w:b w:val="0"/>
            <w:bCs w:val="0"/>
            <w:caps w:val="0"/>
            <w:noProof/>
            <w:sz w:val="22"/>
            <w:szCs w:val="22"/>
            <w:lang w:eastAsia="en-GB" w:bidi="ar-SA"/>
          </w:rPr>
          <w:tab/>
        </w:r>
        <w:r w:rsidR="008E3BE0" w:rsidRPr="00B27902">
          <w:rPr>
            <w:rStyle w:val="Hyperlink"/>
            <w:noProof/>
            <w:lang w:val="en-AU"/>
          </w:rPr>
          <w:t>References</w:t>
        </w:r>
        <w:r w:rsidR="008E3BE0">
          <w:rPr>
            <w:noProof/>
            <w:webHidden/>
          </w:rPr>
          <w:tab/>
        </w:r>
        <w:r w:rsidR="008E3BE0">
          <w:rPr>
            <w:noProof/>
            <w:webHidden/>
          </w:rPr>
          <w:fldChar w:fldCharType="begin"/>
        </w:r>
        <w:r w:rsidR="008E3BE0">
          <w:rPr>
            <w:noProof/>
            <w:webHidden/>
          </w:rPr>
          <w:instrText xml:space="preserve"> PAGEREF _Toc101521543 \h </w:instrText>
        </w:r>
        <w:r w:rsidR="008E3BE0">
          <w:rPr>
            <w:noProof/>
            <w:webHidden/>
          </w:rPr>
        </w:r>
        <w:r w:rsidR="008E3BE0">
          <w:rPr>
            <w:noProof/>
            <w:webHidden/>
          </w:rPr>
          <w:fldChar w:fldCharType="separate"/>
        </w:r>
        <w:r w:rsidR="008E3BE0">
          <w:rPr>
            <w:noProof/>
            <w:webHidden/>
          </w:rPr>
          <w:t>12</w:t>
        </w:r>
        <w:r w:rsidR="008E3BE0">
          <w:rPr>
            <w:noProof/>
            <w:webHidden/>
          </w:rPr>
          <w:fldChar w:fldCharType="end"/>
        </w:r>
      </w:hyperlink>
    </w:p>
    <w:p w14:paraId="5436F62D" w14:textId="470B2DFD" w:rsidR="001D1FB4" w:rsidRPr="001D1FB4" w:rsidRDefault="001D1FB4" w:rsidP="001D1FB4">
      <w:pPr>
        <w:keepNext/>
        <w:spacing w:before="240" w:after="240"/>
        <w:ind w:left="851" w:hanging="851"/>
        <w:jc w:val="center"/>
        <w:rPr>
          <w:bCs/>
          <w:sz w:val="32"/>
          <w:szCs w:val="28"/>
          <w:lang w:val="en-AU" w:bidi="ar-SA"/>
        </w:rPr>
      </w:pPr>
      <w:r w:rsidRPr="001D1FB4">
        <w:rPr>
          <w:lang w:val="en-AU"/>
        </w:rPr>
        <w:fldChar w:fldCharType="end"/>
      </w:r>
    </w:p>
    <w:p w14:paraId="0524C4B5" w14:textId="3C3E8975" w:rsidR="001D1FB4" w:rsidRPr="001D1FB4" w:rsidRDefault="001D1FB4" w:rsidP="001D1FB4">
      <w:pPr>
        <w:rPr>
          <w:lang w:val="en-AU"/>
        </w:rPr>
      </w:pPr>
    </w:p>
    <w:p w14:paraId="6E9AF8D7" w14:textId="77777777" w:rsidR="001D1FB4" w:rsidRPr="001D1FB4" w:rsidRDefault="001D1FB4" w:rsidP="001D1FB4">
      <w:pPr>
        <w:rPr>
          <w:iCs/>
        </w:rPr>
      </w:pPr>
    </w:p>
    <w:p w14:paraId="4A494CF0" w14:textId="77777777" w:rsidR="001D1FB4" w:rsidRPr="001D1FB4" w:rsidRDefault="001D1FB4" w:rsidP="001D1FB4">
      <w:pPr>
        <w:rPr>
          <w:lang w:val="en-AU"/>
        </w:rPr>
      </w:pPr>
    </w:p>
    <w:p w14:paraId="79195E56" w14:textId="77777777" w:rsidR="001D1FB4" w:rsidRPr="001D1FB4" w:rsidRDefault="001D1FB4" w:rsidP="001D1FB4">
      <w:pPr>
        <w:rPr>
          <w:lang w:val="en-AU"/>
        </w:rPr>
      </w:pPr>
    </w:p>
    <w:p w14:paraId="5D451090" w14:textId="77777777" w:rsidR="001D1FB4" w:rsidRPr="001D1FB4" w:rsidRDefault="001D1FB4" w:rsidP="001D1FB4">
      <w:pPr>
        <w:rPr>
          <w:lang w:val="en-AU"/>
        </w:rPr>
      </w:pPr>
      <w:r w:rsidRPr="001D1FB4">
        <w:rPr>
          <w:lang w:val="en-AU"/>
        </w:rPr>
        <w:br w:type="page"/>
      </w:r>
    </w:p>
    <w:p w14:paraId="1A342575" w14:textId="03861745" w:rsidR="001D1FB4" w:rsidRPr="001D1FB4" w:rsidRDefault="00C02E56" w:rsidP="001D1FB4">
      <w:pPr>
        <w:pStyle w:val="Heading1"/>
        <w:rPr>
          <w:lang w:val="en-AU"/>
        </w:rPr>
      </w:pPr>
      <w:bookmarkStart w:id="8" w:name="_Toc97107420"/>
      <w:bookmarkStart w:id="9" w:name="_Toc101521515"/>
      <w:r>
        <w:rPr>
          <w:lang w:val="en-AU"/>
        </w:rPr>
        <w:lastRenderedPageBreak/>
        <w:t>1</w:t>
      </w:r>
      <w:r w:rsidR="001D1FB4" w:rsidRPr="001D1FB4">
        <w:rPr>
          <w:lang w:val="en-AU"/>
        </w:rPr>
        <w:t>.</w:t>
      </w:r>
      <w:r w:rsidR="001D1FB4" w:rsidRPr="001D1FB4">
        <w:rPr>
          <w:lang w:val="en-AU"/>
        </w:rPr>
        <w:tab/>
        <w:t>Introduction</w:t>
      </w:r>
      <w:bookmarkEnd w:id="8"/>
      <w:bookmarkEnd w:id="9"/>
    </w:p>
    <w:p w14:paraId="2FD4425C" w14:textId="6318E739" w:rsidR="00505D44" w:rsidRPr="00D30F8A" w:rsidRDefault="00505D44" w:rsidP="00505D44">
      <w:pPr>
        <w:rPr>
          <w:rFonts w:eastAsia="Calibri"/>
          <w:lang w:eastAsia="en-AU"/>
        </w:rPr>
      </w:pPr>
      <w:r w:rsidRPr="00431724">
        <w:t xml:space="preserve">The applicant, AB Enzymes, is seeking permission for </w:t>
      </w:r>
      <w:r w:rsidR="00F77087">
        <w:rPr>
          <w:rFonts w:eastAsia="Calibri"/>
          <w:lang w:eastAsia="en-AU"/>
        </w:rPr>
        <w:t>t</w:t>
      </w:r>
      <w:r w:rsidRPr="00431724">
        <w:rPr>
          <w:rFonts w:cs="Arial"/>
          <w:szCs w:val="22"/>
        </w:rPr>
        <w:t xml:space="preserve">hermomycolin </w:t>
      </w:r>
      <w:r w:rsidRPr="009521AB">
        <w:rPr>
          <w:rFonts w:cs="Arial"/>
          <w:szCs w:val="22"/>
        </w:rPr>
        <w:t>(EC 3.4.21.65)</w:t>
      </w:r>
      <w:r>
        <w:rPr>
          <w:rFonts w:cs="Arial"/>
          <w:szCs w:val="22"/>
        </w:rPr>
        <w:t>,</w:t>
      </w:r>
      <w:r w:rsidRPr="009521AB">
        <w:rPr>
          <w:rFonts w:cs="Arial"/>
          <w:szCs w:val="22"/>
        </w:rPr>
        <w:t xml:space="preserve"> a protease</w:t>
      </w:r>
      <w:r w:rsidR="00A52764">
        <w:rPr>
          <w:rFonts w:cs="Arial"/>
          <w:szCs w:val="22"/>
        </w:rPr>
        <w:t xml:space="preserve"> of the </w:t>
      </w:r>
      <w:r w:rsidRPr="009521AB">
        <w:rPr>
          <w:rFonts w:cs="Arial"/>
          <w:szCs w:val="22"/>
        </w:rPr>
        <w:t>serine endopeptidase</w:t>
      </w:r>
      <w:r w:rsidR="00A52764">
        <w:rPr>
          <w:rFonts w:cs="Arial"/>
          <w:szCs w:val="22"/>
        </w:rPr>
        <w:t>s</w:t>
      </w:r>
      <w:r w:rsidR="00C84066">
        <w:rPr>
          <w:rFonts w:cs="Arial"/>
          <w:szCs w:val="22"/>
        </w:rPr>
        <w:t xml:space="preserve"> class</w:t>
      </w:r>
      <w:r w:rsidRPr="009521AB">
        <w:rPr>
          <w:rFonts w:cs="Arial"/>
          <w:szCs w:val="22"/>
        </w:rPr>
        <w:t xml:space="preserve">, </w:t>
      </w:r>
      <w:r w:rsidRPr="00D30F8A">
        <w:rPr>
          <w:lang w:val="en-AU" w:bidi="ar-SA"/>
        </w:rPr>
        <w:t xml:space="preserve">as a processing aid. </w:t>
      </w:r>
      <w:r w:rsidRPr="00D30F8A">
        <w:rPr>
          <w:rFonts w:eastAsia="Calibri"/>
          <w:lang w:eastAsia="en-AU"/>
        </w:rPr>
        <w:t xml:space="preserve">The enzyme is produced from </w:t>
      </w:r>
      <w:r w:rsidRPr="00D30F8A">
        <w:rPr>
          <w:lang w:bidi="ar-SA"/>
        </w:rPr>
        <w:t>a</w:t>
      </w:r>
      <w:r>
        <w:rPr>
          <w:lang w:bidi="ar-SA"/>
        </w:rPr>
        <w:t xml:space="preserve"> genetically modified (GM)</w:t>
      </w:r>
      <w:r w:rsidRPr="00D30F8A">
        <w:rPr>
          <w:lang w:bidi="ar-SA"/>
        </w:rPr>
        <w:t xml:space="preserve"> strain</w:t>
      </w:r>
      <w:r w:rsidRPr="00D30F8A" w:rsidDel="00AB3162">
        <w:rPr>
          <w:rFonts w:eastAsia="Calibri"/>
          <w:lang w:eastAsia="en-AU"/>
        </w:rPr>
        <w:t xml:space="preserve"> </w:t>
      </w:r>
      <w:r w:rsidRPr="00D30F8A">
        <w:rPr>
          <w:rFonts w:eastAsia="Calibri"/>
          <w:lang w:eastAsia="en-AU"/>
        </w:rPr>
        <w:t xml:space="preserve">of </w:t>
      </w:r>
      <w:r w:rsidRPr="00D30F8A">
        <w:rPr>
          <w:rFonts w:eastAsia="Calibri"/>
          <w:i/>
          <w:iCs/>
          <w:lang w:eastAsia="en-AU"/>
        </w:rPr>
        <w:t>Trichoderma reesei</w:t>
      </w:r>
      <w:r w:rsidRPr="00D30F8A">
        <w:t xml:space="preserve"> containing the </w:t>
      </w:r>
      <w:r w:rsidR="00AF7946">
        <w:rPr>
          <w:rFonts w:cs="Arial"/>
          <w:szCs w:val="22"/>
        </w:rPr>
        <w:t xml:space="preserve">thermomycolin gene </w:t>
      </w:r>
      <w:r w:rsidRPr="00D30F8A">
        <w:t xml:space="preserve">from </w:t>
      </w:r>
      <w:r w:rsidRPr="009521AB">
        <w:rPr>
          <w:i/>
        </w:rPr>
        <w:t>Malbranchea cinnamomea</w:t>
      </w:r>
      <w:r w:rsidRPr="00D30F8A">
        <w:rPr>
          <w:i/>
        </w:rPr>
        <w:t>.</w:t>
      </w:r>
      <w:r>
        <w:rPr>
          <w:i/>
        </w:rPr>
        <w:t xml:space="preserve"> </w:t>
      </w:r>
      <w:r>
        <w:t xml:space="preserve">The specific name for the production organism is </w:t>
      </w:r>
      <w:r w:rsidRPr="009521AB">
        <w:rPr>
          <w:i/>
        </w:rPr>
        <w:t>T</w:t>
      </w:r>
      <w:r w:rsidRPr="00993A2C">
        <w:t>.</w:t>
      </w:r>
      <w:r w:rsidR="00993A2C" w:rsidRPr="00993A2C">
        <w:t xml:space="preserve"> </w:t>
      </w:r>
      <w:r w:rsidRPr="009521AB">
        <w:rPr>
          <w:i/>
        </w:rPr>
        <w:t>reesei</w:t>
      </w:r>
      <w:r>
        <w:t xml:space="preserve"> </w:t>
      </w:r>
      <w:r w:rsidRPr="0001280D">
        <w:t>RF8963</w:t>
      </w:r>
      <w:r>
        <w:t>.</w:t>
      </w:r>
    </w:p>
    <w:p w14:paraId="7D02808F" w14:textId="77777777" w:rsidR="00505D44" w:rsidRPr="009521AB" w:rsidRDefault="00505D44" w:rsidP="00505D44">
      <w:pPr>
        <w:pStyle w:val="Default"/>
        <w:rPr>
          <w:rFonts w:ascii="Arial" w:hAnsi="Arial" w:cs="Arial"/>
          <w:color w:val="auto"/>
          <w:sz w:val="22"/>
          <w:szCs w:val="22"/>
        </w:rPr>
      </w:pPr>
    </w:p>
    <w:p w14:paraId="640AF68B" w14:textId="22C92A01" w:rsidR="00505D44" w:rsidRPr="009521AB" w:rsidRDefault="00505D44" w:rsidP="00505D44">
      <w:pPr>
        <w:pStyle w:val="Default"/>
        <w:rPr>
          <w:rFonts w:ascii="Arial" w:hAnsi="Arial" w:cs="Arial"/>
          <w:color w:val="auto"/>
          <w:sz w:val="22"/>
          <w:szCs w:val="22"/>
        </w:rPr>
      </w:pPr>
      <w:r w:rsidRPr="009521AB">
        <w:rPr>
          <w:rFonts w:ascii="Arial" w:hAnsi="Arial" w:cs="Arial"/>
          <w:color w:val="auto"/>
          <w:sz w:val="22"/>
          <w:szCs w:val="22"/>
        </w:rPr>
        <w:t>AB Enzymes</w:t>
      </w:r>
      <w:r w:rsidR="00A6648C">
        <w:rPr>
          <w:rFonts w:ascii="Arial" w:hAnsi="Arial" w:cs="Arial"/>
          <w:color w:val="auto"/>
          <w:sz w:val="22"/>
          <w:szCs w:val="22"/>
        </w:rPr>
        <w:t>’</w:t>
      </w:r>
      <w:r w:rsidRPr="009521AB">
        <w:rPr>
          <w:rFonts w:ascii="Arial" w:hAnsi="Arial" w:cs="Arial"/>
          <w:color w:val="auto"/>
          <w:sz w:val="22"/>
          <w:szCs w:val="22"/>
        </w:rPr>
        <w:t xml:space="preserve"> thermomycolin is a thermotolerant </w:t>
      </w:r>
      <w:r w:rsidR="00A52764">
        <w:rPr>
          <w:rFonts w:ascii="Arial" w:hAnsi="Arial" w:cs="Arial"/>
          <w:color w:val="auto"/>
          <w:sz w:val="22"/>
          <w:szCs w:val="22"/>
        </w:rPr>
        <w:t>protease,</w:t>
      </w:r>
      <w:r w:rsidRPr="009521AB">
        <w:rPr>
          <w:rFonts w:ascii="Arial" w:hAnsi="Arial" w:cs="Arial"/>
          <w:color w:val="auto"/>
          <w:sz w:val="22"/>
          <w:szCs w:val="22"/>
        </w:rPr>
        <w:t xml:space="preserve"> suitable for </w:t>
      </w:r>
      <w:r w:rsidR="00A13537" w:rsidRPr="00A13537">
        <w:rPr>
          <w:rFonts w:ascii="Arial" w:hAnsi="Arial" w:cs="Arial"/>
          <w:color w:val="auto"/>
          <w:sz w:val="22"/>
          <w:szCs w:val="22"/>
        </w:rPr>
        <w:t>catalys</w:t>
      </w:r>
      <w:r w:rsidR="00A13537">
        <w:rPr>
          <w:rFonts w:ascii="Arial" w:hAnsi="Arial" w:cs="Arial"/>
          <w:color w:val="auto"/>
          <w:sz w:val="22"/>
          <w:szCs w:val="22"/>
        </w:rPr>
        <w:t>ing</w:t>
      </w:r>
      <w:r w:rsidR="00A13537" w:rsidRPr="00A13537">
        <w:rPr>
          <w:rFonts w:ascii="Arial" w:hAnsi="Arial" w:cs="Arial"/>
          <w:color w:val="auto"/>
          <w:sz w:val="22"/>
          <w:szCs w:val="22"/>
        </w:rPr>
        <w:t xml:space="preserve"> the hydrolysis of peptide bonds </w:t>
      </w:r>
      <w:r w:rsidRPr="009521AB">
        <w:rPr>
          <w:rFonts w:ascii="Arial" w:hAnsi="Arial" w:cs="Arial"/>
          <w:color w:val="auto"/>
          <w:sz w:val="22"/>
          <w:szCs w:val="22"/>
        </w:rPr>
        <w:t>under mildly alkaline conditions</w:t>
      </w:r>
      <w:r w:rsidR="008F60A0">
        <w:rPr>
          <w:rFonts w:ascii="Arial" w:hAnsi="Arial" w:cs="Arial"/>
          <w:color w:val="auto"/>
          <w:sz w:val="22"/>
          <w:szCs w:val="22"/>
        </w:rPr>
        <w:t xml:space="preserve">. It is </w:t>
      </w:r>
      <w:r w:rsidRPr="009521AB">
        <w:rPr>
          <w:rFonts w:ascii="Arial" w:hAnsi="Arial" w:cs="Arial"/>
          <w:color w:val="auto"/>
          <w:sz w:val="22"/>
          <w:szCs w:val="22"/>
        </w:rPr>
        <w:t>used in the manufacture of vegetable and animal protein hydrolysates including meat, poultry and game products</w:t>
      </w:r>
      <w:r w:rsidR="006717DC">
        <w:rPr>
          <w:rFonts w:ascii="Arial" w:hAnsi="Arial" w:cs="Arial"/>
          <w:color w:val="auto"/>
          <w:sz w:val="22"/>
          <w:szCs w:val="22"/>
        </w:rPr>
        <w:t xml:space="preserve">, </w:t>
      </w:r>
      <w:r w:rsidRPr="009521AB">
        <w:rPr>
          <w:rFonts w:ascii="Arial" w:hAnsi="Arial" w:cs="Arial"/>
          <w:color w:val="auto"/>
          <w:sz w:val="22"/>
          <w:szCs w:val="22"/>
        </w:rPr>
        <w:t xml:space="preserve">vegetable products, fish and seafood products. </w:t>
      </w:r>
    </w:p>
    <w:p w14:paraId="13A1116F" w14:textId="77777777" w:rsidR="00505D44" w:rsidRPr="009521AB" w:rsidRDefault="00505D44" w:rsidP="00505D44">
      <w:pPr>
        <w:tabs>
          <w:tab w:val="left" w:pos="993"/>
        </w:tabs>
        <w:rPr>
          <w:rFonts w:cs="Arial"/>
          <w:szCs w:val="22"/>
        </w:rPr>
      </w:pPr>
    </w:p>
    <w:p w14:paraId="3A5E02A1" w14:textId="6217BA74" w:rsidR="002212D2" w:rsidRDefault="00505D44" w:rsidP="00505D44">
      <w:pPr>
        <w:tabs>
          <w:tab w:val="left" w:pos="993"/>
        </w:tabs>
        <w:rPr>
          <w:rFonts w:eastAsia="Calibri"/>
          <w:lang w:eastAsia="en-AU"/>
        </w:rPr>
      </w:pPr>
      <w:r w:rsidRPr="009521AB">
        <w:rPr>
          <w:rFonts w:cs="Arial"/>
          <w:szCs w:val="22"/>
        </w:rPr>
        <w:t xml:space="preserve">Marketed </w:t>
      </w:r>
      <w:r w:rsidR="00A75657">
        <w:rPr>
          <w:rFonts w:cs="Arial"/>
          <w:szCs w:val="22"/>
        </w:rPr>
        <w:t xml:space="preserve">as </w:t>
      </w:r>
      <w:r w:rsidR="004814C1">
        <w:rPr>
          <w:rFonts w:cs="Arial"/>
          <w:szCs w:val="22"/>
        </w:rPr>
        <w:t>a liquid</w:t>
      </w:r>
      <w:r w:rsidRPr="009521AB">
        <w:rPr>
          <w:rFonts w:cs="Arial"/>
          <w:szCs w:val="22"/>
        </w:rPr>
        <w:t xml:space="preserve"> enzyme preparation</w:t>
      </w:r>
      <w:r w:rsidR="00AA3D40">
        <w:rPr>
          <w:rFonts w:cs="Arial"/>
          <w:szCs w:val="22"/>
        </w:rPr>
        <w:t>,</w:t>
      </w:r>
      <w:r w:rsidRPr="009521AB">
        <w:rPr>
          <w:rFonts w:cs="Arial"/>
          <w:szCs w:val="22"/>
        </w:rPr>
        <w:t xml:space="preserve"> i</w:t>
      </w:r>
      <w:r w:rsidRPr="00D30F8A">
        <w:rPr>
          <w:rFonts w:eastAsia="Calibri"/>
          <w:lang w:eastAsia="en-AU"/>
        </w:rPr>
        <w:t xml:space="preserve">f approved, </w:t>
      </w:r>
      <w:r w:rsidRPr="0001280D">
        <w:rPr>
          <w:rFonts w:eastAsia="Calibri"/>
          <w:lang w:eastAsia="en-AU"/>
        </w:rPr>
        <w:t>thermomycolin</w:t>
      </w:r>
      <w:r w:rsidRPr="00D30F8A">
        <w:rPr>
          <w:rFonts w:eastAsia="Calibri"/>
          <w:lang w:eastAsia="en-AU"/>
        </w:rPr>
        <w:t xml:space="preserve"> will be used as a processing aid at low levels and is either not present in the final food or present in insignificant quantities, having no technical function in the final food.</w:t>
      </w:r>
    </w:p>
    <w:p w14:paraId="490E4036" w14:textId="77777777" w:rsidR="002212D2" w:rsidRDefault="002212D2" w:rsidP="002212D2">
      <w:pPr>
        <w:pStyle w:val="Heading2"/>
      </w:pPr>
      <w:bookmarkStart w:id="10" w:name="_Toc62740776"/>
      <w:bookmarkStart w:id="11" w:name="_Toc65157408"/>
      <w:bookmarkStart w:id="12" w:name="_Toc65157977"/>
      <w:bookmarkStart w:id="13" w:name="_Toc67471240"/>
      <w:bookmarkStart w:id="14" w:name="_Toc97107421"/>
      <w:bookmarkStart w:id="15" w:name="_Toc101521516"/>
      <w:r>
        <w:t>1.1</w:t>
      </w:r>
      <w:r>
        <w:tab/>
        <w:t>Objectives of the assessment</w:t>
      </w:r>
      <w:bookmarkEnd w:id="10"/>
      <w:bookmarkEnd w:id="11"/>
      <w:bookmarkEnd w:id="12"/>
      <w:bookmarkEnd w:id="13"/>
      <w:bookmarkEnd w:id="14"/>
      <w:bookmarkEnd w:id="15"/>
    </w:p>
    <w:p w14:paraId="42C2435D" w14:textId="3507A988" w:rsidR="002212D2" w:rsidRPr="00B07A52" w:rsidRDefault="002212D2" w:rsidP="002212D2">
      <w:r w:rsidRPr="00B07A52">
        <w:t xml:space="preserve">The objectives of this </w:t>
      </w:r>
      <w:r w:rsidR="00A75657">
        <w:t>Risk and T</w:t>
      </w:r>
      <w:r w:rsidR="00A75657" w:rsidRPr="00B07A52">
        <w:t xml:space="preserve">echnical </w:t>
      </w:r>
      <w:r w:rsidRPr="00B07A52">
        <w:t>assessment were to:</w:t>
      </w:r>
    </w:p>
    <w:p w14:paraId="319F2845" w14:textId="77777777" w:rsidR="002212D2" w:rsidRPr="00B07A52" w:rsidRDefault="002212D2" w:rsidP="002212D2"/>
    <w:p w14:paraId="41D89E9B" w14:textId="35C17BDA" w:rsidR="002212D2" w:rsidRDefault="002212D2" w:rsidP="002212D2">
      <w:pPr>
        <w:pStyle w:val="FSBullet1"/>
      </w:pPr>
      <w:r w:rsidRPr="00B07A52">
        <w:t>determine whether the enzyme achieves its technological purpose as a processing aid in the quantity and form proposed to be used</w:t>
      </w:r>
      <w:r w:rsidR="008F60A0">
        <w:t>, and</w:t>
      </w:r>
      <w:r w:rsidRPr="00B07A52">
        <w:t xml:space="preserve"> </w:t>
      </w:r>
    </w:p>
    <w:p w14:paraId="2E497B59" w14:textId="77777777" w:rsidR="002212D2" w:rsidRPr="00B07A52" w:rsidRDefault="002212D2" w:rsidP="002212D2">
      <w:pPr>
        <w:rPr>
          <w:lang w:bidi="ar-SA"/>
        </w:rPr>
      </w:pPr>
    </w:p>
    <w:p w14:paraId="540DD368" w14:textId="77777777" w:rsidR="002212D2" w:rsidRPr="00B07A52" w:rsidRDefault="002212D2" w:rsidP="002212D2">
      <w:pPr>
        <w:pStyle w:val="FSBullet1"/>
      </w:pPr>
      <w:r w:rsidRPr="00B07A52">
        <w:t>evaluate potential public health and safety issues that may arise from the use of this enzyme, produced by a genetically modified organism, as a processing aid, specifically by considering the:</w:t>
      </w:r>
    </w:p>
    <w:p w14:paraId="317420F6" w14:textId="77777777" w:rsidR="002212D2" w:rsidRPr="00B07A52" w:rsidRDefault="002212D2" w:rsidP="002212D2">
      <w:pPr>
        <w:pStyle w:val="FSBullet2"/>
      </w:pPr>
      <w:r w:rsidRPr="00B07A52">
        <w:t>history of use of the host and gene donor organisms</w:t>
      </w:r>
    </w:p>
    <w:p w14:paraId="4F215196" w14:textId="77777777" w:rsidR="002212D2" w:rsidRPr="00B07A52" w:rsidRDefault="002212D2" w:rsidP="002212D2">
      <w:pPr>
        <w:pStyle w:val="FSBullet2"/>
      </w:pPr>
      <w:r w:rsidRPr="00B07A52">
        <w:t>characterisation of the genetic modification(s)</w:t>
      </w:r>
    </w:p>
    <w:p w14:paraId="2C5E95BF" w14:textId="76B0E633" w:rsidR="002212D2" w:rsidRPr="00D30F8A" w:rsidRDefault="002212D2" w:rsidP="00A6648C">
      <w:pPr>
        <w:pStyle w:val="FSBullet2"/>
        <w:tabs>
          <w:tab w:val="left" w:pos="1134"/>
        </w:tabs>
        <w:rPr>
          <w:lang w:eastAsia="en-AU"/>
        </w:rPr>
      </w:pPr>
      <w:r w:rsidRPr="00B07A52">
        <w:t>safety of the enzyme.</w:t>
      </w:r>
    </w:p>
    <w:p w14:paraId="14E7CFD1" w14:textId="77777777" w:rsidR="00D36071" w:rsidRDefault="00D36071">
      <w:pPr>
        <w:widowControl/>
        <w:rPr>
          <w:b/>
          <w:bCs/>
          <w:sz w:val="36"/>
          <w:szCs w:val="28"/>
          <w:lang w:val="en-AU" w:bidi="ar-SA"/>
        </w:rPr>
      </w:pPr>
      <w:bookmarkStart w:id="16" w:name="_Toc53473504"/>
      <w:r>
        <w:rPr>
          <w:b/>
          <w:bCs/>
          <w:sz w:val="36"/>
          <w:szCs w:val="28"/>
          <w:lang w:val="en-AU" w:bidi="ar-SA"/>
        </w:rPr>
        <w:br w:type="page"/>
      </w:r>
    </w:p>
    <w:p w14:paraId="4315234D" w14:textId="77777777" w:rsidR="001D1FB4" w:rsidRPr="001D1FB4" w:rsidRDefault="001D1FB4" w:rsidP="001D1FB4">
      <w:pPr>
        <w:keepNext/>
        <w:spacing w:before="240" w:after="240"/>
        <w:ind w:left="851" w:hanging="851"/>
        <w:outlineLvl w:val="0"/>
        <w:rPr>
          <w:b/>
          <w:bCs/>
          <w:sz w:val="36"/>
          <w:szCs w:val="28"/>
          <w:lang w:val="en-AU" w:bidi="ar-SA"/>
        </w:rPr>
      </w:pPr>
      <w:bookmarkStart w:id="17" w:name="_Toc97107422"/>
      <w:bookmarkStart w:id="18" w:name="_Toc101521517"/>
      <w:r w:rsidRPr="001D1FB4">
        <w:rPr>
          <w:b/>
          <w:bCs/>
          <w:sz w:val="36"/>
          <w:szCs w:val="28"/>
          <w:lang w:val="en-AU" w:bidi="ar-SA"/>
        </w:rPr>
        <w:lastRenderedPageBreak/>
        <w:t>2</w:t>
      </w:r>
      <w:r w:rsidRPr="001D1FB4">
        <w:rPr>
          <w:b/>
          <w:bCs/>
          <w:sz w:val="36"/>
          <w:szCs w:val="28"/>
          <w:lang w:val="en-AU" w:bidi="ar-SA"/>
        </w:rPr>
        <w:tab/>
        <w:t>Food technology assessment</w:t>
      </w:r>
      <w:bookmarkEnd w:id="16"/>
      <w:bookmarkEnd w:id="17"/>
      <w:bookmarkEnd w:id="18"/>
    </w:p>
    <w:p w14:paraId="1787712B" w14:textId="5DFF115B" w:rsidR="002212D2" w:rsidRDefault="001D1FB4" w:rsidP="00D44D29">
      <w:pPr>
        <w:pStyle w:val="Heading2"/>
        <w:rPr>
          <w:rFonts w:eastAsia="Calibri"/>
        </w:rPr>
      </w:pPr>
      <w:bookmarkStart w:id="19" w:name="_Toc472327044"/>
      <w:bookmarkStart w:id="20" w:name="_Toc501699819"/>
      <w:bookmarkStart w:id="21" w:name="_Toc67559425"/>
      <w:bookmarkStart w:id="22" w:name="_Toc75789512"/>
      <w:bookmarkStart w:id="23" w:name="_Toc76390761"/>
      <w:bookmarkStart w:id="24" w:name="_Toc97107423"/>
      <w:bookmarkStart w:id="25" w:name="_Toc101521518"/>
      <w:r w:rsidRPr="001D1FB4">
        <w:t>2.1</w:t>
      </w:r>
      <w:r w:rsidRPr="001D1FB4">
        <w:tab/>
      </w:r>
      <w:bookmarkEnd w:id="19"/>
      <w:bookmarkEnd w:id="20"/>
      <w:bookmarkEnd w:id="21"/>
      <w:bookmarkEnd w:id="22"/>
      <w:bookmarkEnd w:id="23"/>
      <w:r w:rsidR="002212D2" w:rsidRPr="00DC05D8">
        <w:t>Characterisation of the</w:t>
      </w:r>
      <w:r w:rsidR="002212D2">
        <w:t xml:space="preserve"> enzyme</w:t>
      </w:r>
      <w:bookmarkEnd w:id="24"/>
      <w:bookmarkEnd w:id="25"/>
      <w:r w:rsidR="002212D2" w:rsidRPr="007C1E60">
        <w:rPr>
          <w:rFonts w:eastAsia="Calibri"/>
        </w:rPr>
        <w:t xml:space="preserve"> </w:t>
      </w:r>
    </w:p>
    <w:p w14:paraId="1976CD91" w14:textId="77777777" w:rsidR="002212D2" w:rsidRPr="002212D2" w:rsidRDefault="002212D2" w:rsidP="00A13537">
      <w:pPr>
        <w:pStyle w:val="Heading3"/>
        <w:rPr>
          <w:b w:val="0"/>
          <w:bCs w:val="0"/>
        </w:rPr>
      </w:pPr>
      <w:bookmarkStart w:id="26" w:name="_Toc536543988"/>
      <w:bookmarkStart w:id="27" w:name="_Toc536607123"/>
      <w:bookmarkStart w:id="28" w:name="_Toc30154595"/>
      <w:bookmarkStart w:id="29" w:name="_Toc85204758"/>
      <w:bookmarkStart w:id="30" w:name="_Toc85211320"/>
      <w:bookmarkStart w:id="31" w:name="_Toc87259295"/>
      <w:bookmarkStart w:id="32" w:name="_Toc97107424"/>
      <w:bookmarkStart w:id="33" w:name="_Toc101521519"/>
      <w:r w:rsidRPr="00A13537">
        <w:t>2.1.1</w:t>
      </w:r>
      <w:r w:rsidRPr="00A13537">
        <w:tab/>
        <w:t>Identity of the enzyme</w:t>
      </w:r>
      <w:bookmarkEnd w:id="26"/>
      <w:bookmarkEnd w:id="27"/>
      <w:bookmarkEnd w:id="28"/>
      <w:bookmarkEnd w:id="29"/>
      <w:bookmarkEnd w:id="30"/>
      <w:bookmarkEnd w:id="31"/>
      <w:bookmarkEnd w:id="32"/>
      <w:bookmarkEnd w:id="33"/>
    </w:p>
    <w:p w14:paraId="5C88D369" w14:textId="6751C6EC" w:rsidR="00484654" w:rsidRDefault="007C1E60" w:rsidP="00484654">
      <w:pPr>
        <w:rPr>
          <w:rFonts w:eastAsia="Calibri"/>
        </w:rPr>
      </w:pPr>
      <w:r w:rsidRPr="007C1E60">
        <w:rPr>
          <w:rFonts w:eastAsia="Calibri"/>
          <w:lang w:bidi="ar-SA"/>
        </w:rPr>
        <w:t>The use of p</w:t>
      </w:r>
      <w:r w:rsidR="00A52764">
        <w:rPr>
          <w:rFonts w:eastAsia="Calibri"/>
          <w:lang w:bidi="ar-SA"/>
        </w:rPr>
        <w:t>roteases</w:t>
      </w:r>
      <w:r w:rsidRPr="007C1E60">
        <w:rPr>
          <w:rFonts w:eastAsia="Calibri"/>
          <w:lang w:bidi="ar-SA"/>
        </w:rPr>
        <w:t xml:space="preserve"> for </w:t>
      </w:r>
      <w:r w:rsidR="00D36071">
        <w:rPr>
          <w:rFonts w:eastAsia="Calibri"/>
          <w:lang w:bidi="ar-SA"/>
        </w:rPr>
        <w:t xml:space="preserve">hydrolysing proteins </w:t>
      </w:r>
      <w:r w:rsidR="00A6648C">
        <w:rPr>
          <w:rFonts w:eastAsia="Calibri"/>
          <w:lang w:bidi="ar-SA"/>
        </w:rPr>
        <w:t>during the manufacture</w:t>
      </w:r>
      <w:r w:rsidRPr="007C1E60">
        <w:rPr>
          <w:rFonts w:eastAsia="Calibri"/>
          <w:lang w:bidi="ar-SA"/>
        </w:rPr>
        <w:t xml:space="preserve"> of fish</w:t>
      </w:r>
      <w:r w:rsidR="00A6648C">
        <w:rPr>
          <w:rFonts w:eastAsia="Calibri"/>
          <w:lang w:bidi="ar-SA"/>
        </w:rPr>
        <w:t>,</w:t>
      </w:r>
      <w:r w:rsidRPr="007C1E60">
        <w:rPr>
          <w:rFonts w:eastAsia="Calibri"/>
          <w:lang w:bidi="ar-SA"/>
        </w:rPr>
        <w:t xml:space="preserve"> seafood, animal and vegetable products has been extensive </w:t>
      </w:r>
      <w:r w:rsidR="00D36071">
        <w:rPr>
          <w:rFonts w:eastAsia="Calibri"/>
          <w:lang w:bidi="ar-SA"/>
        </w:rPr>
        <w:t>for many years</w:t>
      </w:r>
      <w:r w:rsidRPr="007C1E60">
        <w:rPr>
          <w:rFonts w:eastAsia="Calibri"/>
          <w:lang w:bidi="ar-SA"/>
        </w:rPr>
        <w:t xml:space="preserve"> in a number of EU countries </w:t>
      </w:r>
      <w:r w:rsidR="00A6648C">
        <w:rPr>
          <w:rFonts w:eastAsia="Calibri"/>
          <w:lang w:bidi="ar-SA"/>
        </w:rPr>
        <w:t>and</w:t>
      </w:r>
      <w:r w:rsidRPr="007C1E60">
        <w:rPr>
          <w:rFonts w:eastAsia="Calibri"/>
          <w:lang w:bidi="ar-SA"/>
        </w:rPr>
        <w:t xml:space="preserve"> globally</w:t>
      </w:r>
      <w:r w:rsidR="00D36071">
        <w:rPr>
          <w:rFonts w:eastAsia="Calibri"/>
          <w:lang w:bidi="ar-SA"/>
        </w:rPr>
        <w:t xml:space="preserve">. </w:t>
      </w:r>
      <w:r w:rsidR="00D44D29" w:rsidRPr="009B377C">
        <w:rPr>
          <w:rFonts w:eastAsia="Calibri"/>
          <w:lang w:bidi="ar-SA"/>
        </w:rPr>
        <w:t>AB Enzymes</w:t>
      </w:r>
      <w:r w:rsidR="002212D2" w:rsidRPr="009B377C">
        <w:rPr>
          <w:rFonts w:eastAsia="Calibri"/>
          <w:lang w:bidi="ar-SA"/>
        </w:rPr>
        <w:t xml:space="preserve"> provided relevant information regarding the identity of the specific serine endopeptidase enzyme</w:t>
      </w:r>
      <w:r w:rsidR="004814C1">
        <w:t>, t</w:t>
      </w:r>
      <w:r w:rsidR="004814C1" w:rsidRPr="004814C1">
        <w:t>hermomycolin</w:t>
      </w:r>
      <w:r w:rsidR="002212D2" w:rsidRPr="00B07A52">
        <w:t>. FSANZ verified this using an appropriate enzyme nome</w:t>
      </w:r>
      <w:r w:rsidR="002212D2">
        <w:t>nclature reference (IUBMB 2022).</w:t>
      </w:r>
      <w:r w:rsidR="00D36071" w:rsidRPr="00D36071">
        <w:rPr>
          <w:rFonts w:eastAsia="Calibri"/>
          <w:lang w:bidi="ar-SA"/>
        </w:rPr>
        <w:t xml:space="preserve"> </w:t>
      </w:r>
      <w:r w:rsidR="00D36071" w:rsidRPr="00A52764">
        <w:rPr>
          <w:rFonts w:eastAsia="Calibri"/>
          <w:lang w:bidi="ar-SA"/>
        </w:rPr>
        <w:t>Details of the identity of the enzyme are provided in Table 1.</w:t>
      </w:r>
    </w:p>
    <w:p w14:paraId="5C041D2A" w14:textId="77777777" w:rsidR="00D36071" w:rsidRPr="001D1FB4" w:rsidRDefault="00D36071" w:rsidP="00484654">
      <w:pPr>
        <w:rPr>
          <w:rFonts w:eastAsia="Calibri" w:cs="Arial"/>
          <w:b/>
          <w:lang w:bidi="ar-SA"/>
        </w:rPr>
      </w:pPr>
    </w:p>
    <w:p w14:paraId="1F6958F3" w14:textId="77777777" w:rsidR="00D36071" w:rsidRDefault="00D36071" w:rsidP="00D36071">
      <w:pPr>
        <w:rPr>
          <w:rFonts w:eastAsia="Calibri" w:cs="Arial"/>
          <w:lang w:bidi="ar-SA"/>
        </w:rPr>
      </w:pPr>
      <w:r w:rsidRPr="00484654">
        <w:rPr>
          <w:rFonts w:eastAsia="Calibri" w:cs="Arial"/>
          <w:b/>
          <w:i/>
          <w:lang w:bidi="ar-SA"/>
        </w:rPr>
        <w:t>Table 1</w:t>
      </w:r>
      <w:r>
        <w:rPr>
          <w:rFonts w:eastAsia="Calibri" w:cs="Arial"/>
          <w:b/>
          <w:lang w:bidi="ar-SA"/>
        </w:rPr>
        <w:tab/>
      </w:r>
      <w:r w:rsidRPr="00484654">
        <w:rPr>
          <w:rFonts w:eastAsia="Calibri" w:cs="Arial"/>
          <w:lang w:bidi="ar-SA"/>
        </w:rPr>
        <w:t>Identity</w:t>
      </w:r>
    </w:p>
    <w:p w14:paraId="0823418F" w14:textId="77777777" w:rsidR="00484654" w:rsidRPr="001D1FB4" w:rsidRDefault="00484654" w:rsidP="00484654"/>
    <w:tbl>
      <w:tblPr>
        <w:tblStyle w:val="TableGrid31"/>
        <w:tblW w:w="0" w:type="auto"/>
        <w:tblLook w:val="04A0" w:firstRow="1" w:lastRow="0" w:firstColumn="1" w:lastColumn="0" w:noHBand="0" w:noVBand="1"/>
        <w:tblCaption w:val="Table 1"/>
        <w:tblDescription w:val="Identity and relevant details of the enzyme maltogenic alpha-amylase."/>
      </w:tblPr>
      <w:tblGrid>
        <w:gridCol w:w="3119"/>
        <w:gridCol w:w="5941"/>
      </w:tblGrid>
      <w:tr w:rsidR="00484654" w:rsidRPr="001D1FB4" w14:paraId="636568E4" w14:textId="77777777" w:rsidTr="007735CA">
        <w:trPr>
          <w:tblHeader/>
        </w:trPr>
        <w:tc>
          <w:tcPr>
            <w:tcW w:w="3119" w:type="dxa"/>
          </w:tcPr>
          <w:p w14:paraId="4B96B954" w14:textId="77777777" w:rsidR="00484654" w:rsidRPr="001D1FB4" w:rsidRDefault="00484654" w:rsidP="002212D2">
            <w:pPr>
              <w:spacing w:before="120" w:after="120"/>
              <w:rPr>
                <w:b/>
                <w:i/>
              </w:rPr>
            </w:pPr>
            <w:r w:rsidRPr="001D1FB4">
              <w:rPr>
                <w:b/>
                <w:i/>
              </w:rPr>
              <w:t>Generic common name:</w:t>
            </w:r>
          </w:p>
        </w:tc>
        <w:tc>
          <w:tcPr>
            <w:tcW w:w="5941" w:type="dxa"/>
          </w:tcPr>
          <w:p w14:paraId="7050B610" w14:textId="77777777" w:rsidR="00484654" w:rsidRPr="001D1FB4" w:rsidRDefault="00484654" w:rsidP="002212D2">
            <w:pPr>
              <w:spacing w:before="120" w:after="120"/>
            </w:pPr>
            <w:r>
              <w:t>T</w:t>
            </w:r>
            <w:r w:rsidRPr="00B06994">
              <w:t>hermomycolin</w:t>
            </w:r>
          </w:p>
        </w:tc>
      </w:tr>
      <w:tr w:rsidR="00484654" w:rsidRPr="001D1FB4" w14:paraId="59F4F02B" w14:textId="77777777" w:rsidTr="002212D2">
        <w:tc>
          <w:tcPr>
            <w:tcW w:w="3119" w:type="dxa"/>
          </w:tcPr>
          <w:p w14:paraId="4475CE04" w14:textId="77777777" w:rsidR="00484654" w:rsidRPr="001D1FB4" w:rsidRDefault="00484654" w:rsidP="002212D2">
            <w:pPr>
              <w:spacing w:before="120" w:after="120"/>
              <w:rPr>
                <w:b/>
                <w:i/>
              </w:rPr>
            </w:pPr>
            <w:r w:rsidRPr="001D1FB4">
              <w:rPr>
                <w:b/>
                <w:i/>
              </w:rPr>
              <w:t>Accepted IUBMB</w:t>
            </w:r>
            <w:r w:rsidRPr="001D1FB4">
              <w:rPr>
                <w:b/>
                <w:i/>
                <w:vertAlign w:val="superscript"/>
              </w:rPr>
              <w:footnoteReference w:id="2"/>
            </w:r>
            <w:r w:rsidRPr="001D1FB4">
              <w:rPr>
                <w:b/>
                <w:i/>
              </w:rPr>
              <w:t xml:space="preserve"> name:</w:t>
            </w:r>
          </w:p>
        </w:tc>
        <w:tc>
          <w:tcPr>
            <w:tcW w:w="5941" w:type="dxa"/>
          </w:tcPr>
          <w:p w14:paraId="766D4B76" w14:textId="77777777" w:rsidR="00484654" w:rsidRPr="001D1FB4" w:rsidRDefault="00484654" w:rsidP="002212D2">
            <w:pPr>
              <w:spacing w:before="120" w:after="120"/>
            </w:pPr>
            <w:r>
              <w:t>T</w:t>
            </w:r>
            <w:r w:rsidRPr="00B06994">
              <w:t>hermomycolin</w:t>
            </w:r>
          </w:p>
        </w:tc>
      </w:tr>
      <w:tr w:rsidR="00484654" w:rsidRPr="001D1FB4" w14:paraId="4D692185" w14:textId="77777777" w:rsidTr="002212D2">
        <w:tc>
          <w:tcPr>
            <w:tcW w:w="3119" w:type="dxa"/>
          </w:tcPr>
          <w:p w14:paraId="24AE76AB" w14:textId="77777777" w:rsidR="00484654" w:rsidRPr="001D1FB4" w:rsidRDefault="00484654" w:rsidP="002212D2">
            <w:pPr>
              <w:spacing w:before="120" w:after="120"/>
              <w:rPr>
                <w:b/>
                <w:i/>
              </w:rPr>
            </w:pPr>
            <w:r w:rsidRPr="00BC1815">
              <w:rPr>
                <w:b/>
                <w:i/>
              </w:rPr>
              <w:t>Systematic name:</w:t>
            </w:r>
          </w:p>
        </w:tc>
        <w:tc>
          <w:tcPr>
            <w:tcW w:w="5941" w:type="dxa"/>
          </w:tcPr>
          <w:p w14:paraId="540B37D1" w14:textId="77777777" w:rsidR="00484654" w:rsidRPr="001D1FB4" w:rsidRDefault="00484654" w:rsidP="002212D2">
            <w:pPr>
              <w:spacing w:before="120" w:after="120"/>
            </w:pPr>
            <w:r>
              <w:t>Serine e</w:t>
            </w:r>
            <w:r w:rsidRPr="00BC1815">
              <w:t>ndopeptidase/serine protease</w:t>
            </w:r>
          </w:p>
        </w:tc>
      </w:tr>
      <w:tr w:rsidR="00484654" w:rsidRPr="001D1FB4" w14:paraId="3C322F3C" w14:textId="77777777" w:rsidTr="002212D2">
        <w:tc>
          <w:tcPr>
            <w:tcW w:w="3119" w:type="dxa"/>
          </w:tcPr>
          <w:p w14:paraId="5537C7ED" w14:textId="77777777" w:rsidR="00484654" w:rsidRPr="001D1FB4" w:rsidRDefault="00484654" w:rsidP="002212D2">
            <w:pPr>
              <w:spacing w:before="120" w:after="120"/>
              <w:rPr>
                <w:b/>
                <w:i/>
              </w:rPr>
            </w:pPr>
            <w:r w:rsidRPr="001D1FB4">
              <w:rPr>
                <w:b/>
                <w:i/>
              </w:rPr>
              <w:t>Other names:</w:t>
            </w:r>
            <w:r w:rsidRPr="001D1FB4">
              <w:rPr>
                <w:b/>
                <w:i/>
              </w:rPr>
              <w:tab/>
            </w:r>
          </w:p>
        </w:tc>
        <w:tc>
          <w:tcPr>
            <w:tcW w:w="5941" w:type="dxa"/>
          </w:tcPr>
          <w:p w14:paraId="57FDBC6B" w14:textId="77777777" w:rsidR="00484654" w:rsidRPr="001D1FB4" w:rsidRDefault="00484654" w:rsidP="002212D2">
            <w:pPr>
              <w:spacing w:before="120" w:after="120"/>
            </w:pPr>
            <w:r>
              <w:t>T</w:t>
            </w:r>
            <w:r w:rsidRPr="00B06994">
              <w:t>hermomycolase</w:t>
            </w:r>
            <w:r>
              <w:t xml:space="preserve">, </w:t>
            </w:r>
            <w:r w:rsidRPr="007B47A0">
              <w:t xml:space="preserve">Proteinase, </w:t>
            </w:r>
            <w:r w:rsidRPr="007B47A0">
              <w:rPr>
                <w:i/>
              </w:rPr>
              <w:t>Malbranchea pulchella</w:t>
            </w:r>
            <w:r w:rsidRPr="007B47A0">
              <w:t xml:space="preserve"> sulfurea extracellular</w:t>
            </w:r>
          </w:p>
        </w:tc>
      </w:tr>
      <w:tr w:rsidR="00484654" w:rsidRPr="001D1FB4" w14:paraId="56BE8693" w14:textId="77777777" w:rsidTr="002212D2">
        <w:tc>
          <w:tcPr>
            <w:tcW w:w="3119" w:type="dxa"/>
          </w:tcPr>
          <w:p w14:paraId="6C4AECE2" w14:textId="77777777" w:rsidR="00484654" w:rsidRPr="001D1FB4" w:rsidRDefault="00484654" w:rsidP="002212D2">
            <w:pPr>
              <w:spacing w:before="120" w:after="120"/>
              <w:rPr>
                <w:b/>
                <w:i/>
              </w:rPr>
            </w:pPr>
            <w:r w:rsidRPr="001D1FB4">
              <w:rPr>
                <w:b/>
                <w:i/>
              </w:rPr>
              <w:t>EC number:</w:t>
            </w:r>
            <w:r w:rsidRPr="001D1FB4">
              <w:rPr>
                <w:b/>
                <w:i/>
              </w:rPr>
              <w:tab/>
            </w:r>
          </w:p>
        </w:tc>
        <w:tc>
          <w:tcPr>
            <w:tcW w:w="5941" w:type="dxa"/>
          </w:tcPr>
          <w:p w14:paraId="116E7D03" w14:textId="739A5A1E" w:rsidR="00484654" w:rsidRPr="001D1FB4" w:rsidRDefault="00484654" w:rsidP="002212D2">
            <w:pPr>
              <w:spacing w:before="120" w:after="120"/>
            </w:pPr>
            <w:r w:rsidRPr="00B06994">
              <w:t>3.4.21.65</w:t>
            </w:r>
            <w:r>
              <w:t xml:space="preserve"> (</w:t>
            </w:r>
            <w:r w:rsidRPr="00BC1815">
              <w:t xml:space="preserve">formerly </w:t>
            </w:r>
            <w:r w:rsidR="002212D2">
              <w:t xml:space="preserve">covered by </w:t>
            </w:r>
            <w:r w:rsidRPr="00BC1815">
              <w:t>3.4.21.14</w:t>
            </w:r>
            <w:r>
              <w:t>)</w:t>
            </w:r>
          </w:p>
        </w:tc>
      </w:tr>
      <w:tr w:rsidR="00484654" w:rsidRPr="001D1FB4" w14:paraId="7CCCB919" w14:textId="77777777" w:rsidTr="002212D2">
        <w:tc>
          <w:tcPr>
            <w:tcW w:w="3119" w:type="dxa"/>
          </w:tcPr>
          <w:p w14:paraId="663D8EDD" w14:textId="77777777" w:rsidR="00484654" w:rsidRPr="001D1FB4" w:rsidRDefault="00484654" w:rsidP="002212D2">
            <w:pPr>
              <w:spacing w:before="120" w:after="120"/>
              <w:rPr>
                <w:b/>
                <w:i/>
              </w:rPr>
            </w:pPr>
            <w:r w:rsidRPr="001D1FB4">
              <w:rPr>
                <w:b/>
                <w:i/>
              </w:rPr>
              <w:t>CAS</w:t>
            </w:r>
            <w:r w:rsidRPr="001D1FB4">
              <w:rPr>
                <w:b/>
                <w:i/>
                <w:vertAlign w:val="superscript"/>
              </w:rPr>
              <w:footnoteReference w:id="3"/>
            </w:r>
            <w:r w:rsidRPr="001D1FB4">
              <w:rPr>
                <w:b/>
                <w:i/>
              </w:rPr>
              <w:t xml:space="preserve"> registry number:</w:t>
            </w:r>
          </w:p>
        </w:tc>
        <w:tc>
          <w:tcPr>
            <w:tcW w:w="5941" w:type="dxa"/>
          </w:tcPr>
          <w:p w14:paraId="629EAFD7" w14:textId="77777777" w:rsidR="00484654" w:rsidRPr="001D1FB4" w:rsidRDefault="00484654" w:rsidP="002212D2">
            <w:pPr>
              <w:spacing w:before="120" w:after="120"/>
            </w:pPr>
            <w:r w:rsidRPr="00B06994">
              <w:t>52233-31-5</w:t>
            </w:r>
          </w:p>
        </w:tc>
      </w:tr>
      <w:tr w:rsidR="00484654" w:rsidRPr="001D1FB4" w14:paraId="69B2AABD" w14:textId="77777777" w:rsidTr="002212D2">
        <w:tc>
          <w:tcPr>
            <w:tcW w:w="3119" w:type="dxa"/>
          </w:tcPr>
          <w:p w14:paraId="54E5E6CC" w14:textId="77777777" w:rsidR="00484654" w:rsidRPr="001D1FB4" w:rsidRDefault="00484654" w:rsidP="002212D2">
            <w:pPr>
              <w:spacing w:before="120" w:after="120"/>
              <w:rPr>
                <w:b/>
                <w:i/>
              </w:rPr>
            </w:pPr>
            <w:r w:rsidRPr="001D1FB4">
              <w:rPr>
                <w:b/>
                <w:i/>
              </w:rPr>
              <w:t>Reaction:</w:t>
            </w:r>
          </w:p>
        </w:tc>
        <w:tc>
          <w:tcPr>
            <w:tcW w:w="5941" w:type="dxa"/>
          </w:tcPr>
          <w:p w14:paraId="12D3FD8C" w14:textId="2B8EA53A" w:rsidR="00484654" w:rsidRPr="001D1FB4" w:rsidRDefault="00484654" w:rsidP="008F60A0">
            <w:pPr>
              <w:spacing w:before="120" w:after="120"/>
            </w:pPr>
            <w:r>
              <w:t>N</w:t>
            </w:r>
            <w:r w:rsidRPr="00B06994">
              <w:t>onspecific hydrolysis of p</w:t>
            </w:r>
            <w:r>
              <w:t xml:space="preserve">roteins. Exhibits preferential cleavage at </w:t>
            </w:r>
            <w:r w:rsidRPr="007C13C5">
              <w:t xml:space="preserve">Alanine, Tyrosine and Phenylalanine </w:t>
            </w:r>
            <w:r w:rsidRPr="00B06994">
              <w:t>in small molecule substrates</w:t>
            </w:r>
          </w:p>
        </w:tc>
      </w:tr>
    </w:tbl>
    <w:p w14:paraId="13B6E83B" w14:textId="2E4A86B6" w:rsidR="006412F1" w:rsidRDefault="006412F1" w:rsidP="006412F1">
      <w:pPr>
        <w:widowControl/>
        <w:autoSpaceDE w:val="0"/>
        <w:autoSpaceDN w:val="0"/>
        <w:adjustRightInd w:val="0"/>
        <w:rPr>
          <w:rFonts w:eastAsia="Calibri" w:cs="Arial"/>
          <w:szCs w:val="22"/>
          <w:lang w:bidi="ar-SA"/>
        </w:rPr>
      </w:pPr>
    </w:p>
    <w:p w14:paraId="56BD6E63" w14:textId="70B6BFBC" w:rsidR="005D2535" w:rsidRDefault="005D2535" w:rsidP="005D2535">
      <w:pPr>
        <w:rPr>
          <w:lang w:eastAsia="en-AU" w:bidi="ar-SA"/>
        </w:rPr>
      </w:pPr>
      <w:r>
        <w:t>T</w:t>
      </w:r>
      <w:r w:rsidRPr="00B06994">
        <w:t>hermomycolin</w:t>
      </w:r>
      <w:r w:rsidRPr="00846A4A">
        <w:t xml:space="preserve"> is a serine endopeptidase</w:t>
      </w:r>
      <w:r w:rsidRPr="00274EE2">
        <w:t xml:space="preserve"> </w:t>
      </w:r>
      <w:r>
        <w:t>(</w:t>
      </w:r>
      <w:r w:rsidRPr="00274EE2">
        <w:t>IUBMB 202</w:t>
      </w:r>
      <w:r>
        <w:t>2), which are commonly referred to as proteases</w:t>
      </w:r>
      <w:r w:rsidRPr="00846A4A">
        <w:t xml:space="preserve"> </w:t>
      </w:r>
      <w:r>
        <w:t>(</w:t>
      </w:r>
      <w:r w:rsidRPr="00846A4A">
        <w:t>Campbell-Platt, 2018;</w:t>
      </w:r>
      <w:r>
        <w:t xml:space="preserve"> </w:t>
      </w:r>
      <w:r w:rsidRPr="00324A70">
        <w:t>Nagodawithana and Reed,1993</w:t>
      </w:r>
      <w:r>
        <w:t xml:space="preserve">). </w:t>
      </w:r>
      <w:r w:rsidRPr="005D2535">
        <w:t>Thermomycolin</w:t>
      </w:r>
      <w:r w:rsidRPr="00D17578">
        <w:t xml:space="preserve"> </w:t>
      </w:r>
      <w:r>
        <w:t xml:space="preserve">was originally part of a class of enzymes numbered by the IUBMB as </w:t>
      </w:r>
      <w:r w:rsidRPr="00E74E2F">
        <w:t>EC 3.4.21.14</w:t>
      </w:r>
      <w:r>
        <w:t xml:space="preserve">. The IUBMB has since transferred this to individual entries, including for </w:t>
      </w:r>
      <w:r>
        <w:rPr>
          <w:lang w:eastAsia="en-AU" w:bidi="ar-SA"/>
        </w:rPr>
        <w:t>t</w:t>
      </w:r>
      <w:r w:rsidRPr="005D2535">
        <w:rPr>
          <w:lang w:eastAsia="en-AU" w:bidi="ar-SA"/>
        </w:rPr>
        <w:t>hermomycolin</w:t>
      </w:r>
      <w:r>
        <w:rPr>
          <w:lang w:eastAsia="en-AU" w:bidi="ar-SA"/>
        </w:rPr>
        <w:t xml:space="preserve"> (EC 3.4.21.65), in</w:t>
      </w:r>
      <w:r>
        <w:t>stead of the original EC number,</w:t>
      </w:r>
      <w:r w:rsidRPr="0057306D">
        <w:t xml:space="preserve"> </w:t>
      </w:r>
      <w:r>
        <w:t>EC 3.4.21.14</w:t>
      </w:r>
      <w:r>
        <w:rPr>
          <w:lang w:eastAsia="en-AU" w:bidi="ar-SA"/>
        </w:rPr>
        <w:t xml:space="preserve"> (IUBMB 2022).</w:t>
      </w:r>
      <w:r w:rsidRPr="00D17578">
        <w:rPr>
          <w:lang w:eastAsia="en-AU" w:bidi="ar-SA"/>
        </w:rPr>
        <w:t xml:space="preserve"> </w:t>
      </w:r>
    </w:p>
    <w:p w14:paraId="3C40BE4E" w14:textId="77777777" w:rsidR="005D2535" w:rsidRDefault="005D2535" w:rsidP="005D2535">
      <w:pPr>
        <w:rPr>
          <w:lang w:eastAsia="en-AU" w:bidi="ar-SA"/>
        </w:rPr>
      </w:pPr>
    </w:p>
    <w:p w14:paraId="5418DA07" w14:textId="2FBCDCB7" w:rsidR="005D2535" w:rsidRDefault="005D2535" w:rsidP="00A13537">
      <w:pPr>
        <w:rPr>
          <w:rFonts w:eastAsia="Calibri" w:cs="Arial"/>
          <w:szCs w:val="22"/>
          <w:lang w:bidi="ar-SA"/>
        </w:rPr>
      </w:pPr>
      <w:r w:rsidRPr="005D2535">
        <w:rPr>
          <w:lang w:eastAsia="en-AU" w:bidi="ar-SA"/>
        </w:rPr>
        <w:t>Thermomycolin</w:t>
      </w:r>
      <w:r>
        <w:rPr>
          <w:lang w:eastAsia="en-AU" w:bidi="ar-SA"/>
        </w:rPr>
        <w:t xml:space="preserve"> from </w:t>
      </w:r>
      <w:r>
        <w:rPr>
          <w:i/>
          <w:lang w:eastAsia="en-AU" w:bidi="ar-SA"/>
        </w:rPr>
        <w:t>T.</w:t>
      </w:r>
      <w:r w:rsidRPr="005D2535">
        <w:rPr>
          <w:i/>
          <w:lang w:eastAsia="en-AU" w:bidi="ar-SA"/>
        </w:rPr>
        <w:t xml:space="preserve"> reesei </w:t>
      </w:r>
      <w:r w:rsidRPr="005D2535">
        <w:rPr>
          <w:lang w:eastAsia="en-AU" w:bidi="ar-SA"/>
        </w:rPr>
        <w:t xml:space="preserve">containing the </w:t>
      </w:r>
      <w:r w:rsidR="006B50AF">
        <w:rPr>
          <w:lang w:eastAsia="en-AU" w:bidi="ar-SA"/>
        </w:rPr>
        <w:t>t</w:t>
      </w:r>
      <w:r w:rsidR="006B50AF" w:rsidRPr="006B50AF">
        <w:rPr>
          <w:lang w:eastAsia="en-AU" w:bidi="ar-SA"/>
        </w:rPr>
        <w:t>hermomycolin</w:t>
      </w:r>
      <w:r w:rsidR="006B50AF" w:rsidRPr="006B50AF" w:rsidDel="006B50AF">
        <w:rPr>
          <w:lang w:eastAsia="en-AU" w:bidi="ar-SA"/>
        </w:rPr>
        <w:t xml:space="preserve"> </w:t>
      </w:r>
      <w:r w:rsidRPr="005D2535">
        <w:rPr>
          <w:lang w:eastAsia="en-AU" w:bidi="ar-SA"/>
        </w:rPr>
        <w:t xml:space="preserve">gene from </w:t>
      </w:r>
      <w:r>
        <w:rPr>
          <w:i/>
          <w:lang w:eastAsia="en-AU" w:bidi="ar-SA"/>
        </w:rPr>
        <w:t>M.</w:t>
      </w:r>
      <w:r w:rsidRPr="005D2535">
        <w:rPr>
          <w:i/>
          <w:lang w:eastAsia="en-AU" w:bidi="ar-SA"/>
        </w:rPr>
        <w:t xml:space="preserve"> cinnamomea</w:t>
      </w:r>
      <w:r>
        <w:rPr>
          <w:lang w:eastAsia="en-AU" w:bidi="ar-SA"/>
        </w:rPr>
        <w:t xml:space="preserve"> as requested in this application, is not currently permitted for use as a processing aid in the Code.</w:t>
      </w:r>
    </w:p>
    <w:p w14:paraId="370A87EC" w14:textId="77777777" w:rsidR="001E70F4" w:rsidRPr="001D1FB4" w:rsidRDefault="001E70F4" w:rsidP="00D44D29">
      <w:pPr>
        <w:pStyle w:val="Heading2"/>
        <w:rPr>
          <w:b w:val="0"/>
          <w:bCs w:val="0"/>
        </w:rPr>
      </w:pPr>
      <w:bookmarkStart w:id="34" w:name="_Toc97107425"/>
      <w:bookmarkStart w:id="35" w:name="_Toc101521520"/>
      <w:r w:rsidRPr="001D1FB4">
        <w:t>2.2</w:t>
      </w:r>
      <w:r w:rsidRPr="001D1FB4">
        <w:tab/>
        <w:t>Manufacturing process</w:t>
      </w:r>
      <w:bookmarkEnd w:id="34"/>
      <w:bookmarkEnd w:id="35"/>
    </w:p>
    <w:p w14:paraId="2A0D486B" w14:textId="77777777" w:rsidR="001E70F4" w:rsidRPr="001D1FB4" w:rsidRDefault="001E70F4" w:rsidP="00A13537">
      <w:pPr>
        <w:pStyle w:val="Heading3"/>
        <w:rPr>
          <w:b w:val="0"/>
          <w:bCs w:val="0"/>
        </w:rPr>
      </w:pPr>
      <w:bookmarkStart w:id="36" w:name="_Toc67559428"/>
      <w:bookmarkStart w:id="37" w:name="_Toc97107426"/>
      <w:bookmarkStart w:id="38" w:name="_Toc101521521"/>
      <w:r w:rsidRPr="00A13537">
        <w:t>2.2.1</w:t>
      </w:r>
      <w:r w:rsidRPr="00A13537">
        <w:tab/>
        <w:t xml:space="preserve">Production of </w:t>
      </w:r>
      <w:r w:rsidRPr="00B63374">
        <w:t>the enzyme</w:t>
      </w:r>
      <w:bookmarkEnd w:id="36"/>
      <w:bookmarkEnd w:id="37"/>
      <w:bookmarkEnd w:id="38"/>
    </w:p>
    <w:p w14:paraId="5AA008FC" w14:textId="6956ED78" w:rsidR="001E70F4" w:rsidRPr="00E266D6" w:rsidRDefault="001E70F4" w:rsidP="001E70F4">
      <w:pPr>
        <w:rPr>
          <w:lang w:eastAsia="en-AU"/>
        </w:rPr>
      </w:pPr>
      <w:r w:rsidRPr="008F60A0">
        <w:rPr>
          <w:lang w:eastAsia="en-AU"/>
        </w:rPr>
        <w:t>A</w:t>
      </w:r>
      <w:r w:rsidRPr="00E266D6">
        <w:rPr>
          <w:lang w:eastAsia="en-AU"/>
        </w:rPr>
        <w:t>B Enzymes</w:t>
      </w:r>
      <w:r w:rsidR="00D44D29">
        <w:rPr>
          <w:lang w:eastAsia="en-AU"/>
        </w:rPr>
        <w:t>’</w:t>
      </w:r>
      <w:r w:rsidRPr="009B377C">
        <w:rPr>
          <w:lang w:eastAsia="en-AU"/>
        </w:rPr>
        <w:t xml:space="preserve"> </w:t>
      </w:r>
      <w:r w:rsidRPr="00E266D6">
        <w:rPr>
          <w:lang w:eastAsia="en-AU"/>
        </w:rPr>
        <w:t xml:space="preserve">thermomycolin is produced by submerged fermentation </w:t>
      </w:r>
      <w:r w:rsidRPr="00E266D6">
        <w:rPr>
          <w:lang w:eastAsia="en-AU"/>
        </w:rPr>
        <w:lastRenderedPageBreak/>
        <w:t xml:space="preserve">which is </w:t>
      </w:r>
      <w:r w:rsidR="00A75657">
        <w:rPr>
          <w:lang w:eastAsia="en-AU"/>
        </w:rPr>
        <w:t xml:space="preserve">a common </w:t>
      </w:r>
      <w:r>
        <w:rPr>
          <w:lang w:eastAsia="en-AU"/>
        </w:rPr>
        <w:t xml:space="preserve">method for </w:t>
      </w:r>
      <w:r w:rsidR="00A75657">
        <w:rPr>
          <w:lang w:eastAsia="en-AU"/>
        </w:rPr>
        <w:t>producing</w:t>
      </w:r>
      <w:r w:rsidR="00A75657" w:rsidRPr="00E266D6">
        <w:rPr>
          <w:lang w:eastAsia="en-AU"/>
        </w:rPr>
        <w:t xml:space="preserve"> </w:t>
      </w:r>
      <w:r w:rsidR="00A75657">
        <w:rPr>
          <w:lang w:eastAsia="en-AU"/>
        </w:rPr>
        <w:t xml:space="preserve">food </w:t>
      </w:r>
      <w:r w:rsidRPr="00E266D6">
        <w:rPr>
          <w:lang w:eastAsia="en-AU"/>
        </w:rPr>
        <w:t>enzymes. The main fermentation steps are</w:t>
      </w:r>
      <w:r w:rsidR="008F60A0">
        <w:rPr>
          <w:lang w:eastAsia="en-AU"/>
        </w:rPr>
        <w:t>:</w:t>
      </w:r>
      <w:r w:rsidRPr="00E266D6">
        <w:rPr>
          <w:lang w:eastAsia="en-AU"/>
        </w:rPr>
        <w:t xml:space="preserve"> inoculum</w:t>
      </w:r>
      <w:r w:rsidR="008F60A0">
        <w:rPr>
          <w:lang w:eastAsia="en-AU"/>
        </w:rPr>
        <w:t>;</w:t>
      </w:r>
      <w:r w:rsidRPr="00E266D6">
        <w:rPr>
          <w:lang w:eastAsia="en-AU"/>
        </w:rPr>
        <w:t xml:space="preserve"> seed fermentation</w:t>
      </w:r>
      <w:r w:rsidR="008F60A0">
        <w:rPr>
          <w:lang w:eastAsia="en-AU"/>
        </w:rPr>
        <w:t>;</w:t>
      </w:r>
      <w:r w:rsidRPr="00E266D6">
        <w:rPr>
          <w:lang w:eastAsia="en-AU"/>
        </w:rPr>
        <w:t xml:space="preserve"> main fermentation followed by the recovery stage involving primary and liquid separation</w:t>
      </w:r>
      <w:r w:rsidR="008F60A0">
        <w:rPr>
          <w:lang w:eastAsia="en-AU"/>
        </w:rPr>
        <w:t>;</w:t>
      </w:r>
      <w:r w:rsidRPr="00E266D6">
        <w:rPr>
          <w:lang w:eastAsia="en-AU"/>
        </w:rPr>
        <w:t xml:space="preserve"> concentration to achieve the desired enzyme activity</w:t>
      </w:r>
      <w:r>
        <w:rPr>
          <w:lang w:eastAsia="en-AU"/>
        </w:rPr>
        <w:t xml:space="preserve"> followed by </w:t>
      </w:r>
      <w:r w:rsidRPr="00E266D6">
        <w:rPr>
          <w:lang w:eastAsia="en-AU"/>
        </w:rPr>
        <w:t>polish and germ filtration</w:t>
      </w:r>
      <w:r w:rsidR="00C01354">
        <w:rPr>
          <w:lang w:eastAsia="en-AU"/>
        </w:rPr>
        <w:t xml:space="preserve">. This </w:t>
      </w:r>
      <w:r w:rsidRPr="00E266D6">
        <w:rPr>
          <w:lang w:eastAsia="en-AU"/>
        </w:rPr>
        <w:t>provide</w:t>
      </w:r>
      <w:r w:rsidR="00C01354">
        <w:rPr>
          <w:lang w:eastAsia="en-AU"/>
        </w:rPr>
        <w:t>s</w:t>
      </w:r>
      <w:r w:rsidRPr="00E266D6">
        <w:rPr>
          <w:lang w:eastAsia="en-AU"/>
        </w:rPr>
        <w:t xml:space="preserve"> a concentrated enzyme solution free of the production strain and insoluble substances. The</w:t>
      </w:r>
      <w:r>
        <w:rPr>
          <w:lang w:eastAsia="en-AU"/>
        </w:rPr>
        <w:t xml:space="preserve"> final formulation of the enzyme preparation and associated packing</w:t>
      </w:r>
      <w:r w:rsidRPr="00E266D6">
        <w:rPr>
          <w:lang w:eastAsia="en-AU"/>
        </w:rPr>
        <w:t xml:space="preserve"> follows. A manufacturing flow-chart was provided as an </w:t>
      </w:r>
      <w:r w:rsidR="008F60A0">
        <w:rPr>
          <w:lang w:eastAsia="en-AU"/>
        </w:rPr>
        <w:t>a</w:t>
      </w:r>
      <w:r w:rsidR="008F60A0" w:rsidRPr="00E266D6">
        <w:rPr>
          <w:lang w:eastAsia="en-AU"/>
        </w:rPr>
        <w:t xml:space="preserve">ppendix </w:t>
      </w:r>
      <w:r w:rsidRPr="00E266D6">
        <w:rPr>
          <w:lang w:eastAsia="en-AU"/>
        </w:rPr>
        <w:t xml:space="preserve">with the application. </w:t>
      </w:r>
      <w:r w:rsidR="00A75657">
        <w:rPr>
          <w:lang w:eastAsia="en-AU"/>
        </w:rPr>
        <w:t>M</w:t>
      </w:r>
      <w:r w:rsidRPr="00E266D6">
        <w:rPr>
          <w:lang w:eastAsia="en-AU"/>
        </w:rPr>
        <w:t>anufactur</w:t>
      </w:r>
      <w:r w:rsidR="00A75657">
        <w:rPr>
          <w:lang w:eastAsia="en-AU"/>
        </w:rPr>
        <w:t>ing occurs</w:t>
      </w:r>
      <w:r w:rsidRPr="00E266D6">
        <w:rPr>
          <w:lang w:eastAsia="en-AU"/>
        </w:rPr>
        <w:t xml:space="preserve"> in accordance with current Good Manufacturing Practices for Food and the principals of Hazard Analysis of Critical Control Points. Compliance </w:t>
      </w:r>
      <w:r w:rsidR="00122F5A">
        <w:rPr>
          <w:lang w:eastAsia="en-AU"/>
        </w:rPr>
        <w:t>with</w:t>
      </w:r>
      <w:r w:rsidRPr="00E266D6">
        <w:rPr>
          <w:lang w:eastAsia="en-AU"/>
        </w:rPr>
        <w:t xml:space="preserve"> Food Hygiene Regulation by relevant food inspection services in Finland also provides assurance. </w:t>
      </w:r>
    </w:p>
    <w:p w14:paraId="48859CC3" w14:textId="77777777" w:rsidR="001E70F4" w:rsidRPr="00E266D6" w:rsidRDefault="001E70F4" w:rsidP="001E70F4">
      <w:pPr>
        <w:rPr>
          <w:lang w:eastAsia="en-AU"/>
        </w:rPr>
      </w:pPr>
    </w:p>
    <w:p w14:paraId="48DBD049" w14:textId="404A1838" w:rsidR="001E70F4" w:rsidRPr="00E266D6" w:rsidRDefault="001E70F4" w:rsidP="001E70F4">
      <w:pPr>
        <w:rPr>
          <w:lang w:eastAsia="en-AU"/>
        </w:rPr>
      </w:pPr>
      <w:r w:rsidRPr="00E266D6">
        <w:rPr>
          <w:lang w:eastAsia="en-AU"/>
        </w:rPr>
        <w:t>The raw materials used in the fermentation and recovery processes are of food grade quality that meet predefined quality standards controlled by Quality Assurance for ROAL Oy</w:t>
      </w:r>
      <w:r w:rsidRPr="00E266D6">
        <w:rPr>
          <w:rStyle w:val="FootnoteReference"/>
          <w:lang w:eastAsia="en-AU"/>
        </w:rPr>
        <w:footnoteReference w:id="4"/>
      </w:r>
      <w:r w:rsidRPr="00E266D6">
        <w:rPr>
          <w:lang w:eastAsia="en-AU"/>
        </w:rPr>
        <w:t>. The raw materials conform to either specifications set out in the Food Chemical Codex, 12th edition</w:t>
      </w:r>
      <w:r w:rsidR="00A75657">
        <w:rPr>
          <w:lang w:eastAsia="en-AU"/>
        </w:rPr>
        <w:t xml:space="preserve"> (</w:t>
      </w:r>
      <w:r w:rsidRPr="00E266D6">
        <w:rPr>
          <w:lang w:eastAsia="en-AU"/>
        </w:rPr>
        <w:t>2020</w:t>
      </w:r>
      <w:r w:rsidR="00A75657">
        <w:rPr>
          <w:lang w:eastAsia="en-AU"/>
        </w:rPr>
        <w:t>)</w:t>
      </w:r>
      <w:r w:rsidRPr="00E266D6">
        <w:rPr>
          <w:lang w:eastAsia="en-AU"/>
        </w:rPr>
        <w:t xml:space="preserve"> or The Council Regulation 93/315/EEC, setting the basic principles of EU legislation on contaminants and food, and Commission Regulation (EC) No 1881/2006 setting maximum limits for certain contaminants in food. </w:t>
      </w:r>
      <w:r>
        <w:rPr>
          <w:lang w:eastAsia="en-AU"/>
        </w:rPr>
        <w:t>FSANZ note</w:t>
      </w:r>
      <w:r w:rsidR="008F60A0">
        <w:rPr>
          <w:lang w:eastAsia="en-AU"/>
        </w:rPr>
        <w:t>s</w:t>
      </w:r>
      <w:r>
        <w:rPr>
          <w:lang w:eastAsia="en-AU"/>
        </w:rPr>
        <w:t xml:space="preserve"> that wheat products are utilised in the production of this enzyme.</w:t>
      </w:r>
    </w:p>
    <w:p w14:paraId="4ECD20E6" w14:textId="77777777" w:rsidR="00A40237" w:rsidRDefault="00A40237" w:rsidP="001E70F4">
      <w:pPr>
        <w:widowControl/>
        <w:autoSpaceDE w:val="0"/>
        <w:autoSpaceDN w:val="0"/>
        <w:adjustRightInd w:val="0"/>
        <w:rPr>
          <w:lang w:eastAsia="en-AU"/>
        </w:rPr>
      </w:pPr>
    </w:p>
    <w:p w14:paraId="17D8B078" w14:textId="24502534" w:rsidR="001E70F4" w:rsidRPr="00E266D6" w:rsidRDefault="001E70F4" w:rsidP="001E70F4">
      <w:pPr>
        <w:widowControl/>
        <w:autoSpaceDE w:val="0"/>
        <w:autoSpaceDN w:val="0"/>
        <w:adjustRightInd w:val="0"/>
        <w:rPr>
          <w:lang w:eastAsia="en-AU"/>
        </w:rPr>
      </w:pPr>
      <w:r>
        <w:rPr>
          <w:lang w:eastAsia="en-AU"/>
        </w:rPr>
        <w:t>The enzyme preparation is a liquid, consisting of glycerol, sorbitol, sodium benzoate and water and m</w:t>
      </w:r>
      <w:r w:rsidRPr="00AA3D40">
        <w:rPr>
          <w:lang w:eastAsia="en-AU"/>
        </w:rPr>
        <w:t xml:space="preserve">arketed </w:t>
      </w:r>
      <w:r>
        <w:rPr>
          <w:lang w:eastAsia="en-AU"/>
        </w:rPr>
        <w:t>under the trade name COROLASE® 8000.</w:t>
      </w:r>
      <w:r w:rsidR="00A40237">
        <w:rPr>
          <w:lang w:eastAsia="en-AU"/>
        </w:rPr>
        <w:t xml:space="preserve"> </w:t>
      </w:r>
      <w:r w:rsidRPr="00E266D6">
        <w:rPr>
          <w:lang w:eastAsia="en-AU"/>
        </w:rPr>
        <w:t xml:space="preserve">Whilst </w:t>
      </w:r>
      <w:r>
        <w:rPr>
          <w:lang w:eastAsia="en-AU"/>
        </w:rPr>
        <w:t>t</w:t>
      </w:r>
      <w:r w:rsidRPr="00E266D6">
        <w:rPr>
          <w:lang w:eastAsia="en-AU"/>
        </w:rPr>
        <w:t xml:space="preserve">he manufacturing processes ensure the production microorganism is removed from the final enzyme preparation, the food enzyme is a biological isolate of variable composition, containing the enzyme protein, as well as organic and inorganic material derived from the microorganism and fermentation process. The final enzyme preparation is produced to ensure it </w:t>
      </w:r>
      <w:r w:rsidR="00A75657">
        <w:rPr>
          <w:lang w:eastAsia="en-AU"/>
        </w:rPr>
        <w:t xml:space="preserve">meets </w:t>
      </w:r>
      <w:r w:rsidRPr="00E266D6">
        <w:rPr>
          <w:lang w:eastAsia="en-AU"/>
        </w:rPr>
        <w:t xml:space="preserve">international purity specifications of enzymes, being </w:t>
      </w:r>
      <w:r w:rsidRPr="00E266D6">
        <w:rPr>
          <w:rFonts w:ascii="CIDFont+F1" w:eastAsia="Calibri" w:hAnsi="CIDFont+F1" w:cs="CIDFont+F1"/>
          <w:szCs w:val="22"/>
          <w:lang w:bidi="ar-SA"/>
        </w:rPr>
        <w:t xml:space="preserve">the Joint FAO/WHO Expert Committee on Food Additives (JECFA, 2006) and the Food Chemicals Codex (FCC) (USP, 2020) </w:t>
      </w:r>
      <w:r w:rsidRPr="00E266D6">
        <w:rPr>
          <w:lang w:eastAsia="en-AU"/>
        </w:rPr>
        <w:t xml:space="preserve">as discussed in the next section. </w:t>
      </w:r>
    </w:p>
    <w:p w14:paraId="346013B6" w14:textId="1D6BCEAD" w:rsidR="001D1FB4" w:rsidRPr="004F41B7" w:rsidRDefault="00C87185" w:rsidP="00A13537">
      <w:pPr>
        <w:pStyle w:val="Heading3"/>
      </w:pPr>
      <w:bookmarkStart w:id="39" w:name="_Toc67559429"/>
      <w:bookmarkStart w:id="40" w:name="_Toc97107427"/>
      <w:bookmarkStart w:id="41" w:name="_Toc101521522"/>
      <w:r w:rsidRPr="00122F5A">
        <w:t>2.2.2</w:t>
      </w:r>
      <w:r w:rsidR="001D1FB4" w:rsidRPr="004F41B7">
        <w:tab/>
        <w:t>Specifications</w:t>
      </w:r>
      <w:bookmarkEnd w:id="39"/>
      <w:bookmarkEnd w:id="40"/>
      <w:bookmarkEnd w:id="41"/>
    </w:p>
    <w:p w14:paraId="5BF1FA3C" w14:textId="77C61700" w:rsidR="001E70F4" w:rsidRDefault="001E70F4" w:rsidP="001E70F4">
      <w:pPr>
        <w:rPr>
          <w:lang w:eastAsia="en-AU" w:bidi="ar-SA"/>
        </w:rPr>
      </w:pPr>
      <w:r>
        <w:rPr>
          <w:lang w:eastAsia="en-AU" w:bidi="ar-SA"/>
        </w:rPr>
        <w:t>There are international specifications for enzyme preparations used in the production of food. These have been established by JECFA in its Compendium of Food Additive Specifications and in the FCC. These specifications are included in the primary sources listed in section S3—2 of Schedule 3 of the Code</w:t>
      </w:r>
      <w:r w:rsidR="008F60A0">
        <w:rPr>
          <w:lang w:eastAsia="en-AU" w:bidi="ar-SA"/>
        </w:rPr>
        <w:t>. E</w:t>
      </w:r>
      <w:r>
        <w:rPr>
          <w:lang w:eastAsia="en-AU" w:bidi="ar-SA"/>
        </w:rPr>
        <w:t xml:space="preserve">nzymes used as a processing aid must meet either of these specifications. Schedule 3 of the Code also includes specifications for arsenic and heavy metals (section S3—4) if </w:t>
      </w:r>
      <w:r>
        <w:rPr>
          <w:lang w:eastAsia="en-AU" w:bidi="ar-SA"/>
        </w:rPr>
        <w:lastRenderedPageBreak/>
        <w:t>they are not already detailed within specifications in sections S3—2 or S3—3.</w:t>
      </w:r>
    </w:p>
    <w:p w14:paraId="23FDA2E8" w14:textId="77777777" w:rsidR="001D1FB4" w:rsidRPr="001D1FB4" w:rsidRDefault="001D1FB4" w:rsidP="001D1FB4">
      <w:pPr>
        <w:widowControl/>
        <w:autoSpaceDE w:val="0"/>
        <w:autoSpaceDN w:val="0"/>
        <w:adjustRightInd w:val="0"/>
        <w:rPr>
          <w:rFonts w:ascii="CIDFont+F1" w:eastAsia="Calibri" w:hAnsi="CIDFont+F1" w:cs="CIDFont+F1"/>
          <w:szCs w:val="22"/>
          <w:lang w:bidi="ar-SA"/>
        </w:rPr>
      </w:pPr>
    </w:p>
    <w:p w14:paraId="37C0ABEC" w14:textId="78188A87" w:rsidR="00D36071" w:rsidRDefault="00D44D29" w:rsidP="00D36071">
      <w:pPr>
        <w:widowControl/>
        <w:autoSpaceDE w:val="0"/>
        <w:autoSpaceDN w:val="0"/>
        <w:adjustRightInd w:val="0"/>
        <w:rPr>
          <w:i/>
        </w:rPr>
      </w:pPr>
      <w:r>
        <w:rPr>
          <w:rFonts w:ascii="CIDFont+F1" w:eastAsia="Calibri" w:hAnsi="CIDFont+F1" w:cs="CIDFont+F1"/>
          <w:szCs w:val="22"/>
          <w:lang w:bidi="ar-SA"/>
        </w:rPr>
        <w:t>AB Enzyme</w:t>
      </w:r>
      <w:r w:rsidRPr="00D44D29">
        <w:rPr>
          <w:rFonts w:ascii="CIDFont+F1" w:eastAsia="Calibri" w:hAnsi="CIDFont+F1" w:cs="CIDFont+F1"/>
          <w:szCs w:val="22"/>
          <w:lang w:bidi="ar-SA"/>
        </w:rPr>
        <w:t xml:space="preserve">s </w:t>
      </w:r>
      <w:r w:rsidR="00A40237" w:rsidRPr="00A40237">
        <w:rPr>
          <w:rFonts w:ascii="CIDFont+F1" w:eastAsia="Calibri" w:hAnsi="CIDFont+F1" w:cs="CIDFont+F1"/>
          <w:szCs w:val="22"/>
          <w:lang w:bidi="ar-SA"/>
        </w:rPr>
        <w:t xml:space="preserve">provided the results of analysis of three different batches of the </w:t>
      </w:r>
      <w:r w:rsidR="004814C1">
        <w:rPr>
          <w:rFonts w:ascii="CIDFont+F1" w:eastAsia="Calibri" w:hAnsi="CIDFont+F1" w:cs="CIDFont+F1"/>
          <w:szCs w:val="22"/>
          <w:lang w:bidi="ar-SA"/>
        </w:rPr>
        <w:t>liquid enzyme</w:t>
      </w:r>
      <w:r w:rsidR="00A40237" w:rsidRPr="00A40237">
        <w:rPr>
          <w:rFonts w:ascii="CIDFont+F1" w:eastAsia="Calibri" w:hAnsi="CIDFont+F1" w:cs="CIDFont+F1"/>
          <w:szCs w:val="22"/>
          <w:lang w:bidi="ar-SA"/>
        </w:rPr>
        <w:t xml:space="preserve"> preparation. </w:t>
      </w:r>
      <w:r w:rsidR="001D1FB4" w:rsidRPr="001D1FB4">
        <w:rPr>
          <w:rFonts w:ascii="CIDFont+F1" w:eastAsia="Calibri" w:hAnsi="CIDFont+F1" w:cs="CIDFont+F1"/>
          <w:szCs w:val="22"/>
          <w:lang w:bidi="ar-SA"/>
        </w:rPr>
        <w:t xml:space="preserve">Table 2 provides a comparison of </w:t>
      </w:r>
      <w:r w:rsidR="00C01354">
        <w:rPr>
          <w:rFonts w:ascii="CIDFont+F1" w:eastAsia="Calibri" w:hAnsi="CIDFont+F1" w:cs="CIDFont+F1"/>
          <w:szCs w:val="22"/>
          <w:lang w:bidi="ar-SA"/>
        </w:rPr>
        <w:t>these batches</w:t>
      </w:r>
      <w:r w:rsidR="001D1FB4" w:rsidRPr="001D1FB4">
        <w:rPr>
          <w:rFonts w:ascii="CIDFont+F1" w:eastAsia="Calibri" w:hAnsi="CIDFont+F1" w:cs="CIDFont+F1"/>
          <w:szCs w:val="22"/>
          <w:lang w:bidi="ar-SA"/>
        </w:rPr>
        <w:t xml:space="preserve"> with the international specifications established by JECFA and FCC, as well as those detailed in the Code (being section S3—4, as applicable). </w:t>
      </w:r>
    </w:p>
    <w:p w14:paraId="3B9E4ADD" w14:textId="77777777" w:rsidR="00D36071" w:rsidRDefault="00D36071" w:rsidP="00D36071">
      <w:pPr>
        <w:rPr>
          <w:rFonts w:cs="Arial"/>
        </w:rPr>
      </w:pPr>
      <w:r>
        <w:br w:type="page"/>
      </w:r>
    </w:p>
    <w:p w14:paraId="6E6952FD" w14:textId="33B2F815" w:rsidR="001E70F4" w:rsidRDefault="001E70F4" w:rsidP="001E70F4">
      <w:pPr>
        <w:pStyle w:val="FSTableTitle"/>
        <w:keepNext/>
        <w:keepLines/>
        <w:spacing w:after="240"/>
        <w:ind w:left="1134" w:hanging="1134"/>
        <w:rPr>
          <w:b w:val="0"/>
          <w:bCs/>
          <w:i/>
          <w:iCs/>
          <w:color w:val="FFFFFF" w:themeColor="background1"/>
          <w:sz w:val="20"/>
          <w:szCs w:val="20"/>
        </w:rPr>
      </w:pPr>
      <w:r>
        <w:rPr>
          <w:i/>
        </w:rPr>
        <w:lastRenderedPageBreak/>
        <w:t>Table 2</w:t>
      </w:r>
      <w:r>
        <w:rPr>
          <w:i/>
          <w:szCs w:val="20"/>
        </w:rPr>
        <w:tab/>
      </w:r>
      <w:r>
        <w:rPr>
          <w:b w:val="0"/>
          <w:i/>
        </w:rPr>
        <w:t xml:space="preserve">Comparison of </w:t>
      </w:r>
      <w:r w:rsidR="00D44D29">
        <w:rPr>
          <w:b w:val="0"/>
          <w:i/>
        </w:rPr>
        <w:t>AB Enzyme</w:t>
      </w:r>
      <w:r w:rsidR="00D44D29" w:rsidRPr="00D44D29">
        <w:rPr>
          <w:b w:val="0"/>
          <w:i/>
        </w:rPr>
        <w:t>s</w:t>
      </w:r>
      <w:r w:rsidR="00D44D29">
        <w:rPr>
          <w:b w:val="0"/>
          <w:i/>
        </w:rPr>
        <w:t>’</w:t>
      </w:r>
      <w:r>
        <w:rPr>
          <w:b w:val="0"/>
          <w:i/>
        </w:rPr>
        <w:t xml:space="preserve"> </w:t>
      </w:r>
      <w:r w:rsidRPr="001E70F4">
        <w:rPr>
          <w:b w:val="0"/>
          <w:i/>
        </w:rPr>
        <w:t>Thermomycolin</w:t>
      </w:r>
      <w:r>
        <w:rPr>
          <w:b w:val="0"/>
          <w:i/>
        </w:rPr>
        <w:t xml:space="preserve"> </w:t>
      </w:r>
      <w:r w:rsidR="004814C1">
        <w:rPr>
          <w:b w:val="0"/>
          <w:i/>
        </w:rPr>
        <w:t xml:space="preserve">liquid enzyme </w:t>
      </w:r>
      <w:r>
        <w:rPr>
          <w:b w:val="0"/>
          <w:i/>
        </w:rPr>
        <w:t xml:space="preserve">preparation compared to JECFA, Food Chemicals Codex and Code specifications for enzymes </w:t>
      </w:r>
      <w:r w:rsidR="00017AAE" w:rsidRPr="001E70F4">
        <w:rPr>
          <w:b w:val="0"/>
          <w:bCs/>
          <w:i/>
          <w:iCs/>
          <w:color w:val="FFFFFF" w:themeColor="background1"/>
          <w:sz w:val="20"/>
          <w:szCs w:val="20"/>
        </w:rPr>
        <w:t xml:space="preserve"> 2</w:t>
      </w:r>
      <w:r w:rsidR="00017AAE" w:rsidRPr="001E70F4">
        <w:rPr>
          <w:b w:val="0"/>
          <w:bCs/>
          <w:i/>
          <w:iCs/>
          <w:color w:val="FFFFFF" w:themeColor="background1"/>
          <w:sz w:val="20"/>
          <w:szCs w:val="20"/>
        </w:rPr>
        <w:tab/>
      </w:r>
    </w:p>
    <w:tbl>
      <w:tblPr>
        <w:tblStyle w:val="TableClassic42"/>
        <w:tblW w:w="9072" w:type="dxa"/>
        <w:tblInd w:w="0"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268"/>
        <w:gridCol w:w="1731"/>
        <w:gridCol w:w="1671"/>
        <w:gridCol w:w="1594"/>
        <w:gridCol w:w="1808"/>
      </w:tblGrid>
      <w:tr w:rsidR="001E70F4" w14:paraId="3A735063" w14:textId="77777777" w:rsidTr="00C871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tcBorders>
              <w:top w:val="nil"/>
              <w:left w:val="nil"/>
              <w:bottom w:val="single" w:sz="6" w:space="0" w:color="000000"/>
              <w:right w:val="nil"/>
            </w:tcBorders>
            <w:shd w:val="clear" w:color="auto" w:fill="616571"/>
            <w:vAlign w:val="center"/>
          </w:tcPr>
          <w:p w14:paraId="3DC5340E" w14:textId="77777777" w:rsidR="001E70F4" w:rsidRDefault="001E70F4" w:rsidP="00C87185">
            <w:pPr>
              <w:keepNext/>
              <w:keepLines/>
              <w:spacing w:before="60" w:after="60"/>
              <w:jc w:val="center"/>
              <w:rPr>
                <w:rFonts w:cs="Arial"/>
                <w:i w:val="0"/>
                <w:color w:val="FFFFFF" w:themeColor="background1"/>
                <w:sz w:val="20"/>
                <w:szCs w:val="20"/>
              </w:rPr>
            </w:pPr>
            <w:r>
              <w:rPr>
                <w:rFonts w:cs="Arial"/>
                <w:i w:val="0"/>
                <w:color w:val="FFFFFF" w:themeColor="background1"/>
                <w:sz w:val="20"/>
                <w:szCs w:val="20"/>
              </w:rPr>
              <w:t xml:space="preserve">Analysis </w:t>
            </w:r>
          </w:p>
        </w:tc>
        <w:tc>
          <w:tcPr>
            <w:tcW w:w="1731" w:type="dxa"/>
            <w:vMerge w:val="restart"/>
            <w:tcBorders>
              <w:top w:val="nil"/>
              <w:left w:val="nil"/>
              <w:bottom w:val="single" w:sz="6" w:space="0" w:color="000000"/>
              <w:right w:val="nil"/>
            </w:tcBorders>
            <w:shd w:val="clear" w:color="auto" w:fill="616571"/>
            <w:vAlign w:val="center"/>
            <w:hideMark/>
          </w:tcPr>
          <w:p w14:paraId="516AE456"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Pr>
                <w:rFonts w:cs="Arial"/>
                <w:i w:val="0"/>
                <w:color w:val="FFFFFF" w:themeColor="background1"/>
                <w:sz w:val="20"/>
                <w:szCs w:val="20"/>
              </w:rPr>
              <w:t>Analysis provided by manufacturer*</w:t>
            </w:r>
          </w:p>
        </w:tc>
        <w:tc>
          <w:tcPr>
            <w:tcW w:w="5073" w:type="dxa"/>
            <w:gridSpan w:val="3"/>
            <w:tcBorders>
              <w:top w:val="nil"/>
              <w:left w:val="nil"/>
              <w:bottom w:val="nil"/>
              <w:right w:val="nil"/>
            </w:tcBorders>
            <w:shd w:val="clear" w:color="auto" w:fill="616571"/>
            <w:hideMark/>
          </w:tcPr>
          <w:p w14:paraId="0CC69CA0"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Pr>
                <w:rFonts w:cs="Arial"/>
                <w:i w:val="0"/>
                <w:color w:val="FFFFFF" w:themeColor="background1"/>
                <w:sz w:val="20"/>
                <w:szCs w:val="20"/>
              </w:rPr>
              <w:t>Specifications</w:t>
            </w:r>
          </w:p>
        </w:tc>
      </w:tr>
      <w:tr w:rsidR="001E70F4" w14:paraId="06C1C324" w14:textId="77777777" w:rsidTr="00C871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tcBorders>
              <w:top w:val="nil"/>
              <w:left w:val="nil"/>
              <w:bottom w:val="none" w:sz="0" w:space="0" w:color="auto"/>
              <w:right w:val="nil"/>
            </w:tcBorders>
            <w:vAlign w:val="center"/>
            <w:hideMark/>
          </w:tcPr>
          <w:p w14:paraId="74DFAA85" w14:textId="77777777" w:rsidR="001E70F4" w:rsidRDefault="001E70F4" w:rsidP="00C87185">
            <w:pPr>
              <w:rPr>
                <w:rFonts w:cs="Arial"/>
                <w:color w:val="FFFFFF" w:themeColor="background1"/>
                <w:sz w:val="20"/>
                <w:szCs w:val="20"/>
              </w:rPr>
            </w:pPr>
          </w:p>
        </w:tc>
        <w:tc>
          <w:tcPr>
            <w:tcW w:w="1731" w:type="dxa"/>
            <w:vMerge/>
            <w:tcBorders>
              <w:top w:val="nil"/>
              <w:left w:val="nil"/>
              <w:bottom w:val="none" w:sz="0" w:space="0" w:color="auto"/>
              <w:right w:val="nil"/>
            </w:tcBorders>
            <w:vAlign w:val="center"/>
            <w:hideMark/>
          </w:tcPr>
          <w:p w14:paraId="439DB83D" w14:textId="77777777" w:rsidR="001E70F4" w:rsidRDefault="001E70F4" w:rsidP="00C87185">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p>
        </w:tc>
        <w:tc>
          <w:tcPr>
            <w:tcW w:w="1671" w:type="dxa"/>
            <w:tcBorders>
              <w:top w:val="nil"/>
              <w:left w:val="nil"/>
              <w:bottom w:val="none" w:sz="0" w:space="0" w:color="auto"/>
              <w:right w:val="nil"/>
            </w:tcBorders>
            <w:shd w:val="clear" w:color="auto" w:fill="616571"/>
            <w:vAlign w:val="center"/>
            <w:hideMark/>
          </w:tcPr>
          <w:p w14:paraId="14B1C2D2"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JECFA</w:t>
            </w:r>
          </w:p>
          <w:p w14:paraId="028BB0C9"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(2006)</w:t>
            </w:r>
          </w:p>
        </w:tc>
        <w:tc>
          <w:tcPr>
            <w:tcW w:w="1594" w:type="dxa"/>
            <w:tcBorders>
              <w:top w:val="nil"/>
              <w:left w:val="nil"/>
              <w:bottom w:val="none" w:sz="0" w:space="0" w:color="auto"/>
              <w:right w:val="nil"/>
            </w:tcBorders>
            <w:shd w:val="clear" w:color="auto" w:fill="616571"/>
            <w:vAlign w:val="center"/>
            <w:hideMark/>
          </w:tcPr>
          <w:p w14:paraId="4409AEDD"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Food Chemicals Codex</w:t>
            </w:r>
          </w:p>
          <w:p w14:paraId="428635B2"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(FCC, 2020)</w:t>
            </w:r>
          </w:p>
        </w:tc>
        <w:tc>
          <w:tcPr>
            <w:tcW w:w="1808" w:type="dxa"/>
            <w:tcBorders>
              <w:top w:val="nil"/>
              <w:left w:val="nil"/>
              <w:bottom w:val="none" w:sz="0" w:space="0" w:color="auto"/>
              <w:right w:val="nil"/>
            </w:tcBorders>
            <w:shd w:val="clear" w:color="auto" w:fill="616571"/>
            <w:vAlign w:val="center"/>
            <w:hideMark/>
          </w:tcPr>
          <w:p w14:paraId="31C6BD3D"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Australia New Zealand Food Standards Code</w:t>
            </w:r>
          </w:p>
          <w:p w14:paraId="3056A341" w14:textId="77777777" w:rsidR="001E70F4" w:rsidRDefault="001E70F4" w:rsidP="00C8718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(section S3—4)</w:t>
            </w:r>
          </w:p>
        </w:tc>
      </w:tr>
      <w:tr w:rsidR="001E70F4" w14:paraId="53CB8424"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5267FD57" w14:textId="77777777" w:rsidR="001E70F4" w:rsidRDefault="001E70F4" w:rsidP="00C87185">
            <w:pPr>
              <w:spacing w:before="60" w:after="60"/>
              <w:rPr>
                <w:sz w:val="20"/>
                <w:szCs w:val="20"/>
              </w:rPr>
            </w:pPr>
            <w:r>
              <w:rPr>
                <w:sz w:val="20"/>
                <w:szCs w:val="20"/>
              </w:rPr>
              <w:t>Lead (mg/kg)</w:t>
            </w:r>
          </w:p>
        </w:tc>
        <w:tc>
          <w:tcPr>
            <w:tcW w:w="1731" w:type="dxa"/>
            <w:tcBorders>
              <w:top w:val="nil"/>
              <w:left w:val="nil"/>
              <w:bottom w:val="nil"/>
              <w:right w:val="nil"/>
            </w:tcBorders>
            <w:shd w:val="clear" w:color="auto" w:fill="ECECEC"/>
            <w:hideMark/>
          </w:tcPr>
          <w:p w14:paraId="7A6ED475"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&lt;0.05</w:t>
            </w:r>
          </w:p>
        </w:tc>
        <w:tc>
          <w:tcPr>
            <w:tcW w:w="1671" w:type="dxa"/>
            <w:tcBorders>
              <w:top w:val="nil"/>
              <w:left w:val="nil"/>
              <w:bottom w:val="nil"/>
              <w:right w:val="nil"/>
            </w:tcBorders>
            <w:shd w:val="clear" w:color="auto" w:fill="ECECEC"/>
            <w:hideMark/>
          </w:tcPr>
          <w:p w14:paraId="08D99540"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5</w:t>
            </w:r>
          </w:p>
        </w:tc>
        <w:tc>
          <w:tcPr>
            <w:tcW w:w="1594" w:type="dxa"/>
            <w:tcBorders>
              <w:top w:val="nil"/>
              <w:left w:val="nil"/>
              <w:bottom w:val="nil"/>
              <w:right w:val="nil"/>
            </w:tcBorders>
            <w:shd w:val="clear" w:color="auto" w:fill="ECECEC"/>
            <w:hideMark/>
          </w:tcPr>
          <w:p w14:paraId="1E3F7EC3"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5</w:t>
            </w:r>
          </w:p>
        </w:tc>
        <w:tc>
          <w:tcPr>
            <w:tcW w:w="1808" w:type="dxa"/>
            <w:tcBorders>
              <w:top w:val="nil"/>
              <w:left w:val="nil"/>
              <w:bottom w:val="nil"/>
              <w:right w:val="nil"/>
            </w:tcBorders>
            <w:shd w:val="clear" w:color="auto" w:fill="ECECEC"/>
            <w:hideMark/>
          </w:tcPr>
          <w:p w14:paraId="04EEAF66"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1E70F4" w14:paraId="1CA87534"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419939BC" w14:textId="77777777" w:rsidR="001E70F4" w:rsidRDefault="001E70F4" w:rsidP="00C87185">
            <w:pPr>
              <w:spacing w:before="60" w:after="60"/>
              <w:rPr>
                <w:i/>
                <w:sz w:val="20"/>
                <w:szCs w:val="20"/>
              </w:rPr>
            </w:pPr>
            <w:r>
              <w:rPr>
                <w:sz w:val="20"/>
                <w:szCs w:val="20"/>
              </w:rPr>
              <w:t>Arsenic (mg/kg)</w:t>
            </w:r>
          </w:p>
        </w:tc>
        <w:tc>
          <w:tcPr>
            <w:tcW w:w="1731" w:type="dxa"/>
            <w:tcBorders>
              <w:top w:val="nil"/>
              <w:left w:val="nil"/>
              <w:bottom w:val="nil"/>
              <w:right w:val="nil"/>
            </w:tcBorders>
            <w:hideMark/>
          </w:tcPr>
          <w:p w14:paraId="2E48C747" w14:textId="5295B7E3"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1E70F4">
              <w:rPr>
                <w:sz w:val="20"/>
                <w:szCs w:val="20"/>
              </w:rPr>
              <w:t>&lt;0.5</w:t>
            </w:r>
          </w:p>
        </w:tc>
        <w:tc>
          <w:tcPr>
            <w:tcW w:w="1671" w:type="dxa"/>
            <w:tcBorders>
              <w:top w:val="nil"/>
              <w:left w:val="nil"/>
              <w:bottom w:val="nil"/>
              <w:right w:val="nil"/>
            </w:tcBorders>
            <w:hideMark/>
          </w:tcPr>
          <w:p w14:paraId="3911AA70"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top w:val="nil"/>
              <w:left w:val="nil"/>
              <w:bottom w:val="nil"/>
              <w:right w:val="nil"/>
            </w:tcBorders>
            <w:hideMark/>
          </w:tcPr>
          <w:p w14:paraId="75C454A4"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hideMark/>
          </w:tcPr>
          <w:p w14:paraId="07EFFC23"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70F4" w14:paraId="488A187F"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05A4FEFF" w14:textId="77777777" w:rsidR="001E70F4" w:rsidRDefault="001E70F4" w:rsidP="00C87185">
            <w:pPr>
              <w:spacing w:before="60" w:after="60"/>
              <w:rPr>
                <w:sz w:val="20"/>
                <w:szCs w:val="20"/>
              </w:rPr>
            </w:pPr>
            <w:r>
              <w:rPr>
                <w:sz w:val="20"/>
                <w:szCs w:val="20"/>
              </w:rPr>
              <w:t>Cadmium (mg/kg)</w:t>
            </w:r>
          </w:p>
        </w:tc>
        <w:tc>
          <w:tcPr>
            <w:tcW w:w="1731" w:type="dxa"/>
            <w:tcBorders>
              <w:top w:val="nil"/>
              <w:left w:val="nil"/>
              <w:bottom w:val="nil"/>
              <w:right w:val="nil"/>
            </w:tcBorders>
            <w:shd w:val="clear" w:color="auto" w:fill="ECECEC"/>
            <w:hideMark/>
          </w:tcPr>
          <w:p w14:paraId="25D72B78" w14:textId="1F3FFC34" w:rsidR="001E70F4" w:rsidRDefault="00A40237"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40237">
              <w:rPr>
                <w:sz w:val="20"/>
                <w:szCs w:val="20"/>
              </w:rPr>
              <w:t>&lt;0.5</w:t>
            </w:r>
          </w:p>
        </w:tc>
        <w:tc>
          <w:tcPr>
            <w:tcW w:w="1671" w:type="dxa"/>
            <w:tcBorders>
              <w:top w:val="nil"/>
              <w:left w:val="nil"/>
              <w:bottom w:val="nil"/>
              <w:right w:val="nil"/>
            </w:tcBorders>
            <w:shd w:val="clear" w:color="auto" w:fill="ECECEC"/>
            <w:hideMark/>
          </w:tcPr>
          <w:p w14:paraId="4AAB623A"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top w:val="nil"/>
              <w:left w:val="nil"/>
              <w:bottom w:val="nil"/>
              <w:right w:val="nil"/>
            </w:tcBorders>
            <w:shd w:val="clear" w:color="auto" w:fill="ECECEC"/>
            <w:hideMark/>
          </w:tcPr>
          <w:p w14:paraId="2BE4176C"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shd w:val="clear" w:color="auto" w:fill="ECECEC"/>
            <w:hideMark/>
          </w:tcPr>
          <w:p w14:paraId="68636798"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70F4" w14:paraId="775E1BC3"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ECECEC"/>
              <w:right w:val="nil"/>
            </w:tcBorders>
            <w:hideMark/>
          </w:tcPr>
          <w:p w14:paraId="74DA97A6" w14:textId="77777777" w:rsidR="001E70F4" w:rsidRDefault="001E70F4" w:rsidP="00C87185">
            <w:pPr>
              <w:spacing w:before="60" w:after="60"/>
              <w:rPr>
                <w:sz w:val="20"/>
                <w:szCs w:val="20"/>
              </w:rPr>
            </w:pPr>
            <w:r>
              <w:rPr>
                <w:sz w:val="20"/>
                <w:szCs w:val="20"/>
              </w:rPr>
              <w:t>Mercury (mg/kg)</w:t>
            </w:r>
          </w:p>
        </w:tc>
        <w:tc>
          <w:tcPr>
            <w:tcW w:w="1731" w:type="dxa"/>
            <w:tcBorders>
              <w:top w:val="nil"/>
              <w:left w:val="nil"/>
              <w:bottom w:val="single" w:sz="4" w:space="0" w:color="ECECEC"/>
              <w:right w:val="nil"/>
            </w:tcBorders>
            <w:hideMark/>
          </w:tcPr>
          <w:p w14:paraId="00F8C181" w14:textId="52BBF422" w:rsidR="001E70F4" w:rsidRDefault="00A40237"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40237">
              <w:rPr>
                <w:sz w:val="20"/>
                <w:szCs w:val="20"/>
              </w:rPr>
              <w:t>&lt;0.5</w:t>
            </w:r>
          </w:p>
        </w:tc>
        <w:tc>
          <w:tcPr>
            <w:tcW w:w="1671" w:type="dxa"/>
            <w:tcBorders>
              <w:top w:val="nil"/>
              <w:left w:val="nil"/>
              <w:bottom w:val="single" w:sz="4" w:space="0" w:color="ECECEC"/>
              <w:right w:val="nil"/>
            </w:tcBorders>
            <w:hideMark/>
          </w:tcPr>
          <w:p w14:paraId="622431A0"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top w:val="nil"/>
              <w:left w:val="nil"/>
              <w:bottom w:val="single" w:sz="4" w:space="0" w:color="ECECEC"/>
              <w:right w:val="nil"/>
            </w:tcBorders>
            <w:hideMark/>
          </w:tcPr>
          <w:p w14:paraId="2190B712"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single" w:sz="4" w:space="0" w:color="ECECEC"/>
              <w:right w:val="nil"/>
            </w:tcBorders>
            <w:hideMark/>
          </w:tcPr>
          <w:p w14:paraId="47CBFAB7"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70F4" w14:paraId="6366DF8F"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705C0D82" w14:textId="77777777" w:rsidR="001E70F4" w:rsidRDefault="001E70F4" w:rsidP="00C87185">
            <w:pPr>
              <w:spacing w:before="60" w:after="60"/>
              <w:rPr>
                <w:sz w:val="20"/>
                <w:szCs w:val="20"/>
              </w:rPr>
            </w:pPr>
            <w:r>
              <w:rPr>
                <w:sz w:val="20"/>
                <w:szCs w:val="20"/>
              </w:rPr>
              <w:t>Coliforms (cfu/g)</w:t>
            </w:r>
          </w:p>
        </w:tc>
        <w:tc>
          <w:tcPr>
            <w:tcW w:w="1731" w:type="dxa"/>
            <w:tcBorders>
              <w:top w:val="nil"/>
              <w:left w:val="nil"/>
              <w:bottom w:val="nil"/>
              <w:right w:val="nil"/>
            </w:tcBorders>
            <w:shd w:val="clear" w:color="auto" w:fill="ECECEC"/>
            <w:hideMark/>
          </w:tcPr>
          <w:p w14:paraId="167F363B"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&lt;30</w:t>
            </w:r>
          </w:p>
        </w:tc>
        <w:tc>
          <w:tcPr>
            <w:tcW w:w="1671" w:type="dxa"/>
            <w:tcBorders>
              <w:top w:val="nil"/>
              <w:left w:val="nil"/>
              <w:bottom w:val="nil"/>
              <w:right w:val="nil"/>
            </w:tcBorders>
            <w:shd w:val="clear" w:color="auto" w:fill="ECECEC"/>
            <w:hideMark/>
          </w:tcPr>
          <w:p w14:paraId="29502E9B"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≤30 </w:t>
            </w:r>
          </w:p>
        </w:tc>
        <w:tc>
          <w:tcPr>
            <w:tcW w:w="1594" w:type="dxa"/>
            <w:tcBorders>
              <w:top w:val="nil"/>
              <w:left w:val="nil"/>
              <w:bottom w:val="nil"/>
              <w:right w:val="nil"/>
            </w:tcBorders>
            <w:shd w:val="clear" w:color="auto" w:fill="ECECEC"/>
            <w:hideMark/>
          </w:tcPr>
          <w:p w14:paraId="0418BA7E"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808" w:type="dxa"/>
            <w:tcBorders>
              <w:top w:val="nil"/>
              <w:left w:val="nil"/>
              <w:bottom w:val="nil"/>
              <w:right w:val="nil"/>
            </w:tcBorders>
            <w:shd w:val="clear" w:color="auto" w:fill="ECECEC"/>
            <w:hideMark/>
          </w:tcPr>
          <w:p w14:paraId="43B72081"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1E70F4" w14:paraId="5E6F64DF"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7C9B63F6" w14:textId="77777777" w:rsidR="001E70F4" w:rsidRDefault="001E70F4" w:rsidP="00C87185">
            <w:pPr>
              <w:spacing w:before="60" w:after="60"/>
              <w:rPr>
                <w:sz w:val="20"/>
                <w:szCs w:val="20"/>
              </w:rPr>
            </w:pPr>
            <w:r>
              <w:rPr>
                <w:i/>
                <w:sz w:val="20"/>
                <w:szCs w:val="20"/>
              </w:rPr>
              <w:t>Salmonella</w:t>
            </w:r>
            <w:r>
              <w:rPr>
                <w:sz w:val="20"/>
                <w:szCs w:val="20"/>
              </w:rPr>
              <w:t xml:space="preserve"> (in 25 g)</w:t>
            </w:r>
          </w:p>
        </w:tc>
        <w:tc>
          <w:tcPr>
            <w:tcW w:w="1731" w:type="dxa"/>
            <w:tcBorders>
              <w:top w:val="nil"/>
              <w:left w:val="nil"/>
              <w:bottom w:val="nil"/>
              <w:right w:val="nil"/>
            </w:tcBorders>
            <w:hideMark/>
          </w:tcPr>
          <w:p w14:paraId="7056CD99"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tcBorders>
              <w:top w:val="nil"/>
              <w:left w:val="nil"/>
              <w:bottom w:val="nil"/>
              <w:right w:val="nil"/>
            </w:tcBorders>
            <w:hideMark/>
          </w:tcPr>
          <w:p w14:paraId="4D1A62E3"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594" w:type="dxa"/>
            <w:tcBorders>
              <w:top w:val="nil"/>
              <w:left w:val="nil"/>
              <w:bottom w:val="nil"/>
              <w:right w:val="nil"/>
            </w:tcBorders>
            <w:hideMark/>
          </w:tcPr>
          <w:p w14:paraId="0850857F"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808" w:type="dxa"/>
            <w:tcBorders>
              <w:top w:val="nil"/>
              <w:left w:val="nil"/>
              <w:bottom w:val="nil"/>
              <w:right w:val="nil"/>
            </w:tcBorders>
            <w:hideMark/>
          </w:tcPr>
          <w:p w14:paraId="141E0340"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1E70F4" w14:paraId="1670959B" w14:textId="77777777" w:rsidTr="00C87185">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727DA8CF" w14:textId="77777777" w:rsidR="001E70F4" w:rsidRDefault="001E70F4" w:rsidP="00C87185">
            <w:pPr>
              <w:spacing w:before="60" w:after="60"/>
              <w:rPr>
                <w:i/>
                <w:sz w:val="20"/>
                <w:szCs w:val="20"/>
              </w:rPr>
            </w:pPr>
            <w:r>
              <w:rPr>
                <w:i/>
                <w:sz w:val="20"/>
                <w:szCs w:val="20"/>
              </w:rPr>
              <w:t xml:space="preserve">E. coli </w:t>
            </w:r>
            <w:r>
              <w:rPr>
                <w:sz w:val="20"/>
                <w:szCs w:val="20"/>
              </w:rPr>
              <w:t>(in 25 g)</w:t>
            </w:r>
          </w:p>
        </w:tc>
        <w:tc>
          <w:tcPr>
            <w:tcW w:w="1731" w:type="dxa"/>
            <w:tcBorders>
              <w:top w:val="nil"/>
              <w:left w:val="nil"/>
              <w:bottom w:val="nil"/>
              <w:right w:val="nil"/>
            </w:tcBorders>
            <w:shd w:val="clear" w:color="auto" w:fill="ECECEC"/>
            <w:hideMark/>
          </w:tcPr>
          <w:p w14:paraId="59C1F952"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tcBorders>
              <w:top w:val="nil"/>
              <w:left w:val="nil"/>
              <w:bottom w:val="nil"/>
              <w:right w:val="nil"/>
            </w:tcBorders>
            <w:shd w:val="clear" w:color="auto" w:fill="ECECEC"/>
            <w:hideMark/>
          </w:tcPr>
          <w:p w14:paraId="01869CD4"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Absent </w:t>
            </w:r>
          </w:p>
        </w:tc>
        <w:tc>
          <w:tcPr>
            <w:tcW w:w="1594" w:type="dxa"/>
            <w:tcBorders>
              <w:top w:val="nil"/>
              <w:left w:val="nil"/>
              <w:bottom w:val="nil"/>
              <w:right w:val="nil"/>
            </w:tcBorders>
            <w:shd w:val="clear" w:color="auto" w:fill="ECECEC"/>
            <w:hideMark/>
          </w:tcPr>
          <w:p w14:paraId="243B22EB"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08" w:type="dxa"/>
            <w:tcBorders>
              <w:top w:val="nil"/>
              <w:left w:val="nil"/>
              <w:bottom w:val="nil"/>
              <w:right w:val="nil"/>
            </w:tcBorders>
            <w:shd w:val="clear" w:color="auto" w:fill="ECECEC"/>
            <w:hideMark/>
          </w:tcPr>
          <w:p w14:paraId="0BB76A2A" w14:textId="77777777" w:rsidR="001E70F4" w:rsidRDefault="001E70F4" w:rsidP="00C8718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A40237" w14:paraId="19E8A767" w14:textId="77777777" w:rsidTr="00C87185">
        <w:tc>
          <w:tcPr>
            <w:cnfStyle w:val="001000000000" w:firstRow="0" w:lastRow="0" w:firstColumn="1" w:lastColumn="0" w:oddVBand="0" w:evenVBand="0" w:oddHBand="0" w:evenHBand="0" w:firstRowFirstColumn="0" w:firstRowLastColumn="0" w:lastRowFirstColumn="0" w:lastRowLastColumn="0"/>
            <w:tcW w:w="2268" w:type="dxa"/>
            <w:vAlign w:val="center"/>
          </w:tcPr>
          <w:p w14:paraId="36C176B6" w14:textId="0E8325F3" w:rsidR="00A40237" w:rsidRDefault="00897EB5" w:rsidP="00A40237">
            <w:pPr>
              <w:spacing w:before="60" w:after="60"/>
              <w:rPr>
                <w:i/>
                <w:sz w:val="20"/>
                <w:szCs w:val="20"/>
              </w:rPr>
            </w:pPr>
            <w:r>
              <w:rPr>
                <w:i/>
                <w:sz w:val="20"/>
                <w:szCs w:val="20"/>
              </w:rPr>
              <w:t>Antibiotic</w:t>
            </w:r>
            <w:r w:rsidR="00A40237" w:rsidRPr="00A40237">
              <w:rPr>
                <w:i/>
                <w:sz w:val="20"/>
                <w:szCs w:val="20"/>
              </w:rPr>
              <w:t xml:space="preserve"> activity </w:t>
            </w:r>
          </w:p>
        </w:tc>
        <w:tc>
          <w:tcPr>
            <w:tcW w:w="1731" w:type="dxa"/>
            <w:vAlign w:val="center"/>
          </w:tcPr>
          <w:p w14:paraId="36F3E8FA" w14:textId="1E3C10A4" w:rsidR="00A40237" w:rsidRPr="00A40237" w:rsidRDefault="00A40237" w:rsidP="00A40237">
            <w:pPr>
              <w:spacing w:before="60" w:after="60"/>
              <w:jc w:val="center"/>
              <w:cnfStyle w:val="000000000000" w:firstRow="0" w:lastRow="0" w:firstColumn="0" w:lastColumn="0" w:oddVBand="0" w:evenVBand="0" w:oddHBand="0" w:evenHBand="0" w:firstRowFirstColumn="0" w:firstRowLastColumn="0" w:lastRowFirstColumn="0" w:lastRowLastColumn="0"/>
              <w:rPr>
                <w:bCs/>
                <w:sz w:val="20"/>
                <w:szCs w:val="20"/>
              </w:rPr>
            </w:pPr>
            <w:r w:rsidRPr="00A40237">
              <w:rPr>
                <w:bCs/>
                <w:sz w:val="20"/>
                <w:szCs w:val="20"/>
              </w:rPr>
              <w:t>Not detected</w:t>
            </w:r>
          </w:p>
        </w:tc>
        <w:tc>
          <w:tcPr>
            <w:tcW w:w="1671" w:type="dxa"/>
            <w:vAlign w:val="center"/>
          </w:tcPr>
          <w:p w14:paraId="463D95E3" w14:textId="0157212C" w:rsidR="00A40237" w:rsidRPr="00A40237" w:rsidRDefault="00A40237" w:rsidP="00A40237">
            <w:pPr>
              <w:spacing w:before="60" w:after="60"/>
              <w:jc w:val="center"/>
              <w:cnfStyle w:val="000000000000" w:firstRow="0" w:lastRow="0" w:firstColumn="0" w:lastColumn="0" w:oddVBand="0" w:evenVBand="0" w:oddHBand="0" w:evenHBand="0" w:firstRowFirstColumn="0" w:firstRowLastColumn="0" w:lastRowFirstColumn="0" w:lastRowLastColumn="0"/>
              <w:rPr>
                <w:bCs/>
                <w:sz w:val="20"/>
                <w:szCs w:val="20"/>
              </w:rPr>
            </w:pPr>
            <w:r w:rsidRPr="00A40237">
              <w:rPr>
                <w:bCs/>
                <w:sz w:val="20"/>
                <w:szCs w:val="20"/>
              </w:rPr>
              <w:t>Absent</w:t>
            </w:r>
          </w:p>
        </w:tc>
        <w:tc>
          <w:tcPr>
            <w:tcW w:w="1594" w:type="dxa"/>
            <w:vAlign w:val="center"/>
          </w:tcPr>
          <w:p w14:paraId="43AC01DA" w14:textId="06A0544D" w:rsidR="00A40237" w:rsidRPr="00A40237" w:rsidRDefault="00A40237" w:rsidP="00A40237">
            <w:pPr>
              <w:spacing w:before="60" w:after="60"/>
              <w:jc w:val="center"/>
              <w:cnfStyle w:val="000000000000" w:firstRow="0" w:lastRow="0" w:firstColumn="0" w:lastColumn="0" w:oddVBand="0" w:evenVBand="0" w:oddHBand="0" w:evenHBand="0" w:firstRowFirstColumn="0" w:firstRowLastColumn="0" w:lastRowFirstColumn="0" w:lastRowLastColumn="0"/>
              <w:rPr>
                <w:bCs/>
                <w:sz w:val="20"/>
                <w:szCs w:val="20"/>
              </w:rPr>
            </w:pPr>
            <w:r w:rsidRPr="00A40237">
              <w:rPr>
                <w:bCs/>
                <w:sz w:val="20"/>
                <w:szCs w:val="20"/>
              </w:rPr>
              <w:t>-</w:t>
            </w:r>
          </w:p>
        </w:tc>
        <w:tc>
          <w:tcPr>
            <w:tcW w:w="1808" w:type="dxa"/>
            <w:vAlign w:val="center"/>
          </w:tcPr>
          <w:p w14:paraId="38CFE09D" w14:textId="0B6F0998" w:rsidR="00A40237" w:rsidRPr="00A40237" w:rsidRDefault="00A40237" w:rsidP="00A40237">
            <w:pPr>
              <w:spacing w:before="60" w:after="60"/>
              <w:jc w:val="center"/>
              <w:cnfStyle w:val="000000000000" w:firstRow="0" w:lastRow="0" w:firstColumn="0" w:lastColumn="0" w:oddVBand="0" w:evenVBand="0" w:oddHBand="0" w:evenHBand="0" w:firstRowFirstColumn="0" w:firstRowLastColumn="0" w:lastRowFirstColumn="0" w:lastRowLastColumn="0"/>
              <w:rPr>
                <w:bCs/>
                <w:sz w:val="20"/>
                <w:szCs w:val="20"/>
              </w:rPr>
            </w:pPr>
            <w:r w:rsidRPr="00A40237">
              <w:rPr>
                <w:bCs/>
                <w:sz w:val="20"/>
                <w:szCs w:val="20"/>
              </w:rPr>
              <w:t>-</w:t>
            </w:r>
          </w:p>
        </w:tc>
      </w:tr>
    </w:tbl>
    <w:p w14:paraId="7648DD8D" w14:textId="77777777" w:rsidR="001D1FB4" w:rsidRPr="001D1FB4" w:rsidRDefault="001D1FB4" w:rsidP="00CA2516">
      <w:pPr>
        <w:rPr>
          <w:rFonts w:eastAsia="Calibri"/>
          <w:lang w:bidi="ar-SA"/>
        </w:rPr>
      </w:pPr>
    </w:p>
    <w:p w14:paraId="469A6CC6" w14:textId="49FD936C" w:rsidR="00A40237" w:rsidRDefault="001D1FB4" w:rsidP="001D1FB4">
      <w:pPr>
        <w:rPr>
          <w:lang w:eastAsia="en-AU" w:bidi="ar-SA"/>
        </w:rPr>
      </w:pPr>
      <w:r w:rsidRPr="001D1FB4">
        <w:rPr>
          <w:rFonts w:ascii="CIDFont+F1" w:eastAsia="Calibri" w:hAnsi="CIDFont+F1" w:cs="CIDFont+F1"/>
          <w:szCs w:val="22"/>
          <w:lang w:bidi="ar-SA"/>
        </w:rPr>
        <w:t>Based on the above results, the enzyme preparation meets international and Code specifications for enzymes used in food production.</w:t>
      </w:r>
    </w:p>
    <w:p w14:paraId="2B8FAD53" w14:textId="77777777" w:rsidR="00A40237" w:rsidRPr="001D1FB4" w:rsidRDefault="00A40237" w:rsidP="00D44D29">
      <w:pPr>
        <w:pStyle w:val="Heading2"/>
      </w:pPr>
      <w:bookmarkStart w:id="42" w:name="_Toc97107428"/>
      <w:bookmarkStart w:id="43" w:name="_Toc101521523"/>
      <w:r>
        <w:t>2.3</w:t>
      </w:r>
      <w:r w:rsidRPr="001D1FB4">
        <w:tab/>
      </w:r>
      <w:r>
        <w:t>Technological purpose of the enzyme</w:t>
      </w:r>
      <w:bookmarkEnd w:id="42"/>
      <w:bookmarkEnd w:id="43"/>
    </w:p>
    <w:p w14:paraId="67A4A979" w14:textId="655BCD95" w:rsidR="00A40237" w:rsidRPr="006577E0" w:rsidRDefault="00B60A5E" w:rsidP="00A40237">
      <w:pPr>
        <w:widowControl/>
        <w:autoSpaceDE w:val="0"/>
        <w:autoSpaceDN w:val="0"/>
        <w:adjustRightInd w:val="0"/>
        <w:rPr>
          <w:rFonts w:eastAsia="Calibri" w:cs="Arial"/>
          <w:szCs w:val="22"/>
          <w:lang w:bidi="ar-SA"/>
        </w:rPr>
      </w:pPr>
      <w:r>
        <w:rPr>
          <w:rFonts w:eastAsia="Calibri" w:cs="Arial"/>
          <w:szCs w:val="22"/>
          <w:lang w:bidi="ar-SA"/>
        </w:rPr>
        <w:t>T</w:t>
      </w:r>
      <w:r w:rsidR="00A40237" w:rsidRPr="006577E0">
        <w:rPr>
          <w:rFonts w:eastAsia="Calibri" w:cs="Arial"/>
          <w:szCs w:val="22"/>
          <w:lang w:bidi="ar-SA"/>
        </w:rPr>
        <w:t>hermomyco</w:t>
      </w:r>
      <w:r w:rsidR="00C01354">
        <w:rPr>
          <w:rFonts w:eastAsia="Calibri" w:cs="Arial"/>
          <w:szCs w:val="22"/>
          <w:lang w:bidi="ar-SA"/>
        </w:rPr>
        <w:t xml:space="preserve">lin </w:t>
      </w:r>
      <w:r w:rsidR="00A40237" w:rsidRPr="006577E0">
        <w:rPr>
          <w:rFonts w:eastAsia="Calibri" w:cs="Arial"/>
          <w:szCs w:val="22"/>
          <w:lang w:bidi="ar-SA"/>
        </w:rPr>
        <w:t>facilitate</w:t>
      </w:r>
      <w:r w:rsidR="00C01354">
        <w:rPr>
          <w:rFonts w:eastAsia="Calibri" w:cs="Arial"/>
          <w:szCs w:val="22"/>
          <w:lang w:bidi="ar-SA"/>
        </w:rPr>
        <w:t>s</w:t>
      </w:r>
      <w:r w:rsidR="00A40237" w:rsidRPr="006577E0">
        <w:rPr>
          <w:rFonts w:eastAsia="Calibri" w:cs="Arial"/>
          <w:szCs w:val="22"/>
          <w:lang w:bidi="ar-SA"/>
        </w:rPr>
        <w:t xml:space="preserve"> partial or extensive hydrolysis in protein processing, mainly in fish and meat, including casein, whey, gluten, and proteins from meat, fish, corn, soy, rice, peas, lentils etc. The resulting peptides are used as ingredients in a variety of food products</w:t>
      </w:r>
      <w:r w:rsidR="00A40237" w:rsidRPr="006577E0">
        <w:t xml:space="preserve">, providing </w:t>
      </w:r>
      <w:r w:rsidR="00A40237" w:rsidRPr="006577E0">
        <w:rPr>
          <w:rFonts w:eastAsia="Calibri" w:cs="Arial"/>
          <w:szCs w:val="22"/>
          <w:lang w:bidi="ar-SA"/>
        </w:rPr>
        <w:t xml:space="preserve">functional properties such as solubility, emulsification, gelling and foaming or increasing the protein content in foods for nutritional purposes. </w:t>
      </w:r>
    </w:p>
    <w:p w14:paraId="330662E5" w14:textId="77777777" w:rsidR="00A40237" w:rsidRDefault="00A40237" w:rsidP="00A40237">
      <w:pPr>
        <w:widowControl/>
        <w:autoSpaceDE w:val="0"/>
        <w:autoSpaceDN w:val="0"/>
        <w:adjustRightInd w:val="0"/>
        <w:rPr>
          <w:rFonts w:eastAsia="Calibri" w:cs="Arial"/>
          <w:szCs w:val="22"/>
          <w:lang w:bidi="ar-SA"/>
        </w:rPr>
      </w:pPr>
    </w:p>
    <w:p w14:paraId="170CC02A" w14:textId="792260B1" w:rsidR="00A40237" w:rsidRDefault="00A40237" w:rsidP="00A40237">
      <w:pPr>
        <w:widowControl/>
        <w:autoSpaceDE w:val="0"/>
        <w:autoSpaceDN w:val="0"/>
        <w:adjustRightInd w:val="0"/>
        <w:rPr>
          <w:rFonts w:eastAsia="Calibri" w:cs="Arial"/>
          <w:szCs w:val="22"/>
          <w:lang w:bidi="ar-SA"/>
        </w:rPr>
      </w:pPr>
      <w:r w:rsidRPr="009C524F">
        <w:rPr>
          <w:rFonts w:eastAsia="Calibri"/>
          <w:lang w:eastAsia="en-AU"/>
        </w:rPr>
        <w:t>T</w:t>
      </w:r>
      <w:r w:rsidRPr="009C524F">
        <w:rPr>
          <w:rFonts w:cs="Arial"/>
          <w:szCs w:val="22"/>
        </w:rPr>
        <w:t>hermomycolin</w:t>
      </w:r>
      <w:r w:rsidRPr="009C524F">
        <w:rPr>
          <w:rFonts w:eastAsia="Calibri" w:cs="Arial"/>
          <w:szCs w:val="22"/>
          <w:lang w:bidi="ar-SA"/>
        </w:rPr>
        <w:t xml:space="preserve"> performs its technological function </w:t>
      </w:r>
      <w:r>
        <w:rPr>
          <w:rFonts w:eastAsia="Calibri" w:cs="Arial"/>
          <w:szCs w:val="22"/>
          <w:lang w:bidi="ar-SA"/>
        </w:rPr>
        <w:t xml:space="preserve">during food </w:t>
      </w:r>
      <w:r w:rsidRPr="00A52764">
        <w:rPr>
          <w:rFonts w:eastAsia="Calibri" w:cs="Arial"/>
          <w:szCs w:val="22"/>
          <w:lang w:bidi="ar-SA"/>
        </w:rPr>
        <w:t>processing</w:t>
      </w:r>
      <w:r>
        <w:rPr>
          <w:rFonts w:eastAsia="Calibri" w:cs="Arial"/>
          <w:szCs w:val="22"/>
          <w:lang w:bidi="ar-SA"/>
        </w:rPr>
        <w:t>,</w:t>
      </w:r>
      <w:r w:rsidRPr="009C524F">
        <w:rPr>
          <w:rFonts w:eastAsia="Calibri" w:cs="Arial"/>
          <w:szCs w:val="22"/>
          <w:lang w:bidi="ar-SA"/>
        </w:rPr>
        <w:t xml:space="preserve"> </w:t>
      </w:r>
      <w:r>
        <w:rPr>
          <w:rFonts w:eastAsia="Calibri" w:cs="Arial"/>
          <w:szCs w:val="22"/>
          <w:lang w:bidi="ar-SA"/>
        </w:rPr>
        <w:t>optimising</w:t>
      </w:r>
      <w:r w:rsidRPr="009C524F">
        <w:rPr>
          <w:rFonts w:eastAsia="Calibri" w:cs="Arial"/>
          <w:szCs w:val="22"/>
          <w:lang w:bidi="ar-SA"/>
        </w:rPr>
        <w:t xml:space="preserve"> the hydrolysis process. Due to its thermostability, thermomycolin exhibits activity up to temperatures of </w:t>
      </w:r>
      <w:r>
        <w:rPr>
          <w:rFonts w:eastAsia="Calibri" w:cs="Arial"/>
          <w:szCs w:val="22"/>
          <w:lang w:bidi="ar-SA"/>
        </w:rPr>
        <w:t>80°C. This can</w:t>
      </w:r>
      <w:r w:rsidRPr="009C524F">
        <w:rPr>
          <w:rFonts w:eastAsia="Calibri" w:cs="Arial"/>
          <w:szCs w:val="22"/>
          <w:lang w:bidi="ar-SA"/>
        </w:rPr>
        <w:t xml:space="preserve"> also reduce the risk of microbial contamination during processing. </w:t>
      </w:r>
      <w:r>
        <w:rPr>
          <w:rFonts w:eastAsia="Calibri" w:cs="Arial"/>
          <w:szCs w:val="22"/>
          <w:lang w:bidi="ar-SA"/>
        </w:rPr>
        <w:t>Denatured by high temperature</w:t>
      </w:r>
      <w:r w:rsidRPr="009C524F">
        <w:rPr>
          <w:rFonts w:eastAsia="Calibri" w:cs="Arial"/>
          <w:szCs w:val="22"/>
          <w:lang w:bidi="ar-SA"/>
        </w:rPr>
        <w:t xml:space="preserve"> </w:t>
      </w:r>
      <w:r>
        <w:rPr>
          <w:rFonts w:eastAsia="Calibri" w:cs="Arial"/>
          <w:szCs w:val="22"/>
          <w:lang w:bidi="ar-SA"/>
        </w:rPr>
        <w:t>a</w:t>
      </w:r>
      <w:r w:rsidRPr="009C524F">
        <w:rPr>
          <w:rFonts w:eastAsia="Calibri" w:cs="Arial"/>
          <w:szCs w:val="22"/>
          <w:lang w:bidi="ar-SA"/>
        </w:rPr>
        <w:t xml:space="preserve">t the end of processing, the enzyme </w:t>
      </w:r>
      <w:r>
        <w:rPr>
          <w:rFonts w:eastAsia="Calibri" w:cs="Arial"/>
          <w:szCs w:val="22"/>
          <w:lang w:bidi="ar-SA"/>
        </w:rPr>
        <w:t xml:space="preserve">provides no </w:t>
      </w:r>
      <w:r w:rsidR="00B60A5E">
        <w:rPr>
          <w:rFonts w:eastAsia="Calibri" w:cs="Arial"/>
          <w:szCs w:val="22"/>
          <w:lang w:bidi="ar-SA"/>
        </w:rPr>
        <w:t>residual</w:t>
      </w:r>
      <w:r w:rsidR="00B60A5E" w:rsidRPr="009C524F">
        <w:rPr>
          <w:rFonts w:eastAsia="Calibri" w:cs="Arial"/>
          <w:szCs w:val="22"/>
          <w:lang w:bidi="ar-SA"/>
        </w:rPr>
        <w:t xml:space="preserve"> </w:t>
      </w:r>
      <w:r w:rsidRPr="009C524F">
        <w:rPr>
          <w:rFonts w:eastAsia="Calibri" w:cs="Arial"/>
          <w:szCs w:val="22"/>
          <w:lang w:bidi="ar-SA"/>
        </w:rPr>
        <w:t>enzymatic activity in the final food</w:t>
      </w:r>
      <w:r w:rsidR="008F60A0">
        <w:rPr>
          <w:rFonts w:eastAsia="Calibri" w:cs="Arial"/>
          <w:szCs w:val="22"/>
          <w:lang w:bidi="ar-SA"/>
        </w:rPr>
        <w:t xml:space="preserve">. The physical and chemical properties of </w:t>
      </w:r>
      <w:r w:rsidR="00813FB2">
        <w:rPr>
          <w:rFonts w:eastAsia="Calibri" w:cs="Arial"/>
          <w:szCs w:val="22"/>
          <w:lang w:bidi="ar-SA"/>
        </w:rPr>
        <w:t>thermomycolin are presented in Table 3.</w:t>
      </w:r>
    </w:p>
    <w:p w14:paraId="5CEAF0C1" w14:textId="229FAA3A" w:rsidR="002440DB" w:rsidRDefault="002440DB" w:rsidP="00A40237">
      <w:pPr>
        <w:widowControl/>
        <w:autoSpaceDE w:val="0"/>
        <w:autoSpaceDN w:val="0"/>
        <w:adjustRightInd w:val="0"/>
        <w:rPr>
          <w:rFonts w:eastAsia="Calibri" w:cs="Arial"/>
          <w:szCs w:val="22"/>
          <w:lang w:bidi="ar-SA"/>
        </w:rPr>
      </w:pPr>
    </w:p>
    <w:p w14:paraId="1F10F6BB" w14:textId="77777777" w:rsidR="002440DB" w:rsidRPr="00543B05" w:rsidRDefault="002440DB" w:rsidP="002440DB">
      <w:pPr>
        <w:pStyle w:val="FSTableFigureHeading"/>
        <w:rPr>
          <w:b w:val="0"/>
        </w:rPr>
      </w:pPr>
      <w:r w:rsidRPr="00543B05">
        <w:t xml:space="preserve">Table </w:t>
      </w:r>
      <w:r>
        <w:t>3</w:t>
      </w:r>
      <w:r w:rsidRPr="00543B05">
        <w:tab/>
      </w:r>
      <w:r w:rsidRPr="00543B05">
        <w:rPr>
          <w:b w:val="0"/>
          <w:lang w:val="en-GB"/>
        </w:rPr>
        <w:t>Thermomycolin</w:t>
      </w:r>
      <w:r w:rsidRPr="00543B05">
        <w:t xml:space="preserve"> </w:t>
      </w:r>
      <w:r w:rsidRPr="00543B05">
        <w:rPr>
          <w:b w:val="0"/>
        </w:rPr>
        <w:t>enzyme preparation physical/chemical properties</w:t>
      </w:r>
    </w:p>
    <w:tbl>
      <w:tblPr>
        <w:tblStyle w:val="Table"/>
        <w:tblW w:w="9498" w:type="dxa"/>
        <w:tblLayout w:type="fixed"/>
        <w:tblLook w:val="0000" w:firstRow="0" w:lastRow="0" w:firstColumn="0" w:lastColumn="0" w:noHBand="0" w:noVBand="0"/>
        <w:tblCaption w:val="Alpha-amylase enzyme preparation physical/chemical properties"/>
      </w:tblPr>
      <w:tblGrid>
        <w:gridCol w:w="2943"/>
        <w:gridCol w:w="6555"/>
      </w:tblGrid>
      <w:tr w:rsidR="002440DB" w:rsidRPr="00543B05" w14:paraId="7BF03EE9" w14:textId="77777777" w:rsidTr="007735CA">
        <w:trPr>
          <w:cnfStyle w:val="000000010000" w:firstRow="0" w:lastRow="0" w:firstColumn="0" w:lastColumn="0" w:oddVBand="0" w:evenVBand="0" w:oddHBand="0" w:evenHBand="1" w:firstRowFirstColumn="0" w:firstRowLastColumn="0" w:lastRowFirstColumn="0" w:lastRowLastColumn="0"/>
          <w:trHeight w:val="108"/>
          <w:tblHeader/>
        </w:trPr>
        <w:tc>
          <w:tcPr>
            <w:tcW w:w="9498" w:type="dxa"/>
            <w:gridSpan w:val="2"/>
            <w:shd w:val="clear" w:color="auto" w:fill="7F7F7F" w:themeFill="text1" w:themeFillTint="80"/>
          </w:tcPr>
          <w:p w14:paraId="68D62FAF" w14:textId="77777777" w:rsidR="002440DB" w:rsidRPr="00543B05" w:rsidRDefault="002440DB" w:rsidP="00C87185">
            <w:pPr>
              <w:ind w:left="170" w:right="284"/>
              <w:jc w:val="center"/>
              <w:rPr>
                <w:b/>
                <w:sz w:val="20"/>
                <w:highlight w:val="yellow"/>
                <w:lang w:eastAsia="en-GB"/>
              </w:rPr>
            </w:pPr>
            <w:r w:rsidRPr="00543B05">
              <w:rPr>
                <w:b/>
                <w:color w:val="FFFFFF" w:themeColor="background1"/>
                <w:sz w:val="20"/>
                <w:lang w:eastAsia="en-GB"/>
              </w:rPr>
              <w:t>Physical/chemical properties of commercial enzyme preparation</w:t>
            </w:r>
          </w:p>
        </w:tc>
      </w:tr>
      <w:tr w:rsidR="002440DB" w:rsidRPr="00543B05" w14:paraId="37BC1DD9" w14:textId="77777777" w:rsidTr="00C87185">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4AAA77E4"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Enzyme activity</w:t>
            </w:r>
          </w:p>
        </w:tc>
        <w:tc>
          <w:tcPr>
            <w:tcW w:w="6555" w:type="dxa"/>
          </w:tcPr>
          <w:p w14:paraId="08C63A6D"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100</w:t>
            </w:r>
            <w:r>
              <w:rPr>
                <w:rFonts w:cs="Arial"/>
                <w:sz w:val="20"/>
                <w:szCs w:val="20"/>
              </w:rPr>
              <w:t>,000 BP</w:t>
            </w:r>
            <w:r w:rsidRPr="00543B05">
              <w:rPr>
                <w:rFonts w:cs="Arial"/>
                <w:sz w:val="20"/>
                <w:szCs w:val="20"/>
              </w:rPr>
              <w:t xml:space="preserve">U/g </w:t>
            </w:r>
            <w:r>
              <w:rPr>
                <w:rFonts w:cs="Arial"/>
                <w:sz w:val="20"/>
                <w:szCs w:val="20"/>
              </w:rPr>
              <w:t>(Ave 123,000 over 3 batch results provided)</w:t>
            </w:r>
          </w:p>
        </w:tc>
      </w:tr>
      <w:tr w:rsidR="002440DB" w:rsidRPr="00543B05" w14:paraId="10B1327A" w14:textId="77777777" w:rsidTr="00C87185">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46D1D4CA"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Appearance</w:t>
            </w:r>
          </w:p>
        </w:tc>
        <w:tc>
          <w:tcPr>
            <w:tcW w:w="6555" w:type="dxa"/>
          </w:tcPr>
          <w:p w14:paraId="7ADD23BE"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Brown</w:t>
            </w:r>
            <w:r>
              <w:rPr>
                <w:rFonts w:cs="Arial"/>
                <w:sz w:val="20"/>
                <w:szCs w:val="20"/>
              </w:rPr>
              <w:t xml:space="preserve"> coloured</w:t>
            </w:r>
            <w:r w:rsidRPr="00543B05">
              <w:rPr>
                <w:rFonts w:cs="Arial"/>
                <w:sz w:val="20"/>
                <w:szCs w:val="20"/>
              </w:rPr>
              <w:t xml:space="preserve"> liquid</w:t>
            </w:r>
          </w:p>
        </w:tc>
      </w:tr>
      <w:tr w:rsidR="002440DB" w:rsidRPr="00543B05" w14:paraId="60564CB4" w14:textId="77777777" w:rsidTr="00C87185">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78EA2EEF" w14:textId="77777777" w:rsidR="002440DB" w:rsidRPr="00742FD5" w:rsidRDefault="002440DB" w:rsidP="00C87185">
            <w:pPr>
              <w:autoSpaceDE w:val="0"/>
              <w:autoSpaceDN w:val="0"/>
              <w:adjustRightInd w:val="0"/>
              <w:rPr>
                <w:rFonts w:cs="Arial"/>
                <w:sz w:val="20"/>
                <w:szCs w:val="20"/>
              </w:rPr>
            </w:pPr>
            <w:r w:rsidRPr="00742FD5">
              <w:rPr>
                <w:rFonts w:cs="Arial"/>
                <w:sz w:val="20"/>
                <w:szCs w:val="20"/>
              </w:rPr>
              <w:t>Specific gravity</w:t>
            </w:r>
          </w:p>
        </w:tc>
        <w:tc>
          <w:tcPr>
            <w:tcW w:w="6555" w:type="dxa"/>
          </w:tcPr>
          <w:p w14:paraId="4B178501" w14:textId="77777777" w:rsidR="002440DB" w:rsidRPr="00742FD5" w:rsidRDefault="002440DB" w:rsidP="00C87185">
            <w:pPr>
              <w:autoSpaceDE w:val="0"/>
              <w:autoSpaceDN w:val="0"/>
              <w:adjustRightInd w:val="0"/>
              <w:rPr>
                <w:rFonts w:cs="Arial"/>
                <w:sz w:val="20"/>
                <w:szCs w:val="20"/>
              </w:rPr>
            </w:pPr>
            <w:r w:rsidRPr="00742FD5">
              <w:rPr>
                <w:rFonts w:cs="Arial"/>
                <w:sz w:val="20"/>
                <w:szCs w:val="20"/>
              </w:rPr>
              <w:t>1.15-1.30</w:t>
            </w:r>
          </w:p>
        </w:tc>
      </w:tr>
      <w:tr w:rsidR="002440DB" w:rsidRPr="00543B05" w14:paraId="3F46A573" w14:textId="77777777" w:rsidTr="00C87185">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69C99152"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Temperature stability</w:t>
            </w:r>
          </w:p>
        </w:tc>
        <w:tc>
          <w:tcPr>
            <w:tcW w:w="6555" w:type="dxa"/>
          </w:tcPr>
          <w:p w14:paraId="74D8E142" w14:textId="77777777" w:rsidR="002440DB" w:rsidRPr="00543B05" w:rsidRDefault="002440DB" w:rsidP="00C87185">
            <w:pPr>
              <w:autoSpaceDE w:val="0"/>
              <w:autoSpaceDN w:val="0"/>
              <w:adjustRightInd w:val="0"/>
              <w:rPr>
                <w:rFonts w:cs="Arial"/>
                <w:sz w:val="20"/>
                <w:szCs w:val="20"/>
              </w:rPr>
            </w:pPr>
            <w:r w:rsidRPr="00742FD5">
              <w:rPr>
                <w:rFonts w:cs="Arial"/>
                <w:sz w:val="20"/>
                <w:szCs w:val="20"/>
              </w:rPr>
              <w:t>Optimum at</w:t>
            </w:r>
            <w:r w:rsidRPr="00543B05">
              <w:rPr>
                <w:rFonts w:cs="Arial"/>
                <w:sz w:val="20"/>
                <w:szCs w:val="20"/>
              </w:rPr>
              <w:t xml:space="preserve"> up to </w:t>
            </w:r>
            <w:r w:rsidRPr="00742FD5">
              <w:rPr>
                <w:rFonts w:cs="Arial"/>
                <w:sz w:val="20"/>
                <w:szCs w:val="20"/>
              </w:rPr>
              <w:t>80</w:t>
            </w:r>
            <w:r w:rsidRPr="00543B05">
              <w:rPr>
                <w:rFonts w:cs="Arial"/>
                <w:sz w:val="20"/>
                <w:szCs w:val="20"/>
              </w:rPr>
              <w:t xml:space="preserve">°C.  </w:t>
            </w:r>
          </w:p>
        </w:tc>
      </w:tr>
      <w:tr w:rsidR="002440DB" w:rsidRPr="00543B05" w14:paraId="7D622D0E" w14:textId="77777777" w:rsidTr="00C87185">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14460C04"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pH range</w:t>
            </w:r>
          </w:p>
        </w:tc>
        <w:tc>
          <w:tcPr>
            <w:tcW w:w="6555" w:type="dxa"/>
          </w:tcPr>
          <w:p w14:paraId="5E47A3C2"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Max activity within range</w:t>
            </w:r>
            <w:r w:rsidRPr="00742FD5">
              <w:rPr>
                <w:rFonts w:cs="Arial"/>
                <w:sz w:val="20"/>
                <w:szCs w:val="20"/>
              </w:rPr>
              <w:t xml:space="preserve"> 6.0 – 10</w:t>
            </w:r>
            <w:r w:rsidRPr="00543B05">
              <w:rPr>
                <w:rFonts w:cs="Arial"/>
                <w:sz w:val="20"/>
                <w:szCs w:val="20"/>
              </w:rPr>
              <w:t>.0</w:t>
            </w:r>
          </w:p>
        </w:tc>
      </w:tr>
      <w:tr w:rsidR="002440DB" w:rsidRPr="00543B05" w14:paraId="0932EE8C" w14:textId="77777777" w:rsidTr="00C87185">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3A675B49"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Storage stability</w:t>
            </w:r>
          </w:p>
        </w:tc>
        <w:tc>
          <w:tcPr>
            <w:tcW w:w="6555" w:type="dxa"/>
          </w:tcPr>
          <w:p w14:paraId="2A25DA42" w14:textId="77777777" w:rsidR="002440DB" w:rsidRPr="00543B05" w:rsidRDefault="002440DB" w:rsidP="00C87185">
            <w:pPr>
              <w:autoSpaceDE w:val="0"/>
              <w:autoSpaceDN w:val="0"/>
              <w:adjustRightInd w:val="0"/>
              <w:rPr>
                <w:rFonts w:cs="Arial"/>
                <w:sz w:val="20"/>
                <w:szCs w:val="20"/>
              </w:rPr>
            </w:pPr>
            <w:r w:rsidRPr="00543B05">
              <w:rPr>
                <w:rFonts w:cs="Arial"/>
                <w:sz w:val="20"/>
                <w:szCs w:val="20"/>
              </w:rPr>
              <w:t xml:space="preserve">24 months </w:t>
            </w:r>
            <w:r w:rsidRPr="00742FD5">
              <w:rPr>
                <w:rFonts w:cs="Arial"/>
                <w:sz w:val="20"/>
                <w:szCs w:val="20"/>
              </w:rPr>
              <w:t>a</w:t>
            </w:r>
            <w:r>
              <w:rPr>
                <w:rFonts w:cs="Arial"/>
                <w:sz w:val="20"/>
                <w:szCs w:val="20"/>
              </w:rPr>
              <w:t>t less than</w:t>
            </w:r>
            <w:r w:rsidRPr="00742FD5">
              <w:rPr>
                <w:rFonts w:cs="Arial"/>
                <w:sz w:val="20"/>
                <w:szCs w:val="20"/>
              </w:rPr>
              <w:t xml:space="preserve"> 10°C</w:t>
            </w:r>
          </w:p>
        </w:tc>
      </w:tr>
    </w:tbl>
    <w:p w14:paraId="62522918" w14:textId="451718EE" w:rsidR="002440DB" w:rsidRDefault="002440DB" w:rsidP="002440DB">
      <w:pPr>
        <w:rPr>
          <w:rFonts w:eastAsia="Calibri" w:cs="Arial"/>
          <w:szCs w:val="22"/>
          <w:lang w:bidi="ar-SA"/>
        </w:rPr>
      </w:pPr>
      <w:r w:rsidRPr="00543B05">
        <w:rPr>
          <w:sz w:val="18"/>
          <w:szCs w:val="18"/>
        </w:rPr>
        <w:t>*</w:t>
      </w:r>
      <w:r w:rsidRPr="00742FD5">
        <w:t xml:space="preserve"> </w:t>
      </w:r>
      <w:r w:rsidRPr="00742FD5">
        <w:rPr>
          <w:sz w:val="18"/>
          <w:szCs w:val="18"/>
        </w:rPr>
        <w:t xml:space="preserve">BPU: Assay of protease activity with TCA, </w:t>
      </w:r>
      <w:r>
        <w:rPr>
          <w:sz w:val="18"/>
          <w:szCs w:val="18"/>
        </w:rPr>
        <w:t>Third party internal method.</w:t>
      </w:r>
    </w:p>
    <w:p w14:paraId="5F34BDFC" w14:textId="6BAE2547" w:rsidR="00A40237" w:rsidRPr="00C87185" w:rsidRDefault="00C87185" w:rsidP="00D44D29">
      <w:pPr>
        <w:pStyle w:val="Heading2"/>
      </w:pPr>
      <w:bookmarkStart w:id="44" w:name="_Toc97107429"/>
      <w:bookmarkStart w:id="45" w:name="_Toc101521524"/>
      <w:r>
        <w:lastRenderedPageBreak/>
        <w:t>2.4</w:t>
      </w:r>
      <w:r w:rsidR="00A40237" w:rsidRPr="00C87185">
        <w:tab/>
        <w:t>Technological justification</w:t>
      </w:r>
      <w:bookmarkEnd w:id="44"/>
      <w:bookmarkEnd w:id="45"/>
    </w:p>
    <w:p w14:paraId="05694544" w14:textId="6D677642" w:rsidR="00A40237" w:rsidRPr="005640F3" w:rsidRDefault="000B26E5" w:rsidP="00A40237">
      <w:pPr>
        <w:widowControl/>
        <w:autoSpaceDE w:val="0"/>
        <w:autoSpaceDN w:val="0"/>
        <w:adjustRightInd w:val="0"/>
        <w:rPr>
          <w:rFonts w:eastAsia="Calibri" w:cs="Arial"/>
          <w:szCs w:val="22"/>
          <w:lang w:bidi="ar-SA"/>
        </w:rPr>
      </w:pPr>
      <w:r>
        <w:rPr>
          <w:rFonts w:eastAsia="Calibri" w:cs="Arial"/>
          <w:szCs w:val="22"/>
          <w:lang w:bidi="ar-SA"/>
        </w:rPr>
        <w:t>T</w:t>
      </w:r>
      <w:r w:rsidR="00A40237">
        <w:rPr>
          <w:rFonts w:eastAsia="Calibri" w:cs="Arial"/>
          <w:szCs w:val="22"/>
          <w:lang w:bidi="ar-SA"/>
        </w:rPr>
        <w:t xml:space="preserve">hermomycolin </w:t>
      </w:r>
      <w:r w:rsidR="00A40237" w:rsidRPr="00F658A6">
        <w:rPr>
          <w:rFonts w:eastAsia="Calibri" w:cs="Arial"/>
          <w:szCs w:val="22"/>
          <w:lang w:bidi="ar-SA"/>
        </w:rPr>
        <w:t>provid</w:t>
      </w:r>
      <w:r w:rsidR="00A40237">
        <w:rPr>
          <w:rFonts w:eastAsia="Calibri" w:cs="Arial"/>
          <w:szCs w:val="22"/>
          <w:lang w:bidi="ar-SA"/>
        </w:rPr>
        <w:t>es</w:t>
      </w:r>
      <w:r w:rsidR="00A40237" w:rsidRPr="00F658A6">
        <w:rPr>
          <w:rFonts w:eastAsia="Calibri" w:cs="Arial"/>
          <w:szCs w:val="22"/>
          <w:lang w:bidi="ar-SA"/>
        </w:rPr>
        <w:t xml:space="preserve"> production consistency and </w:t>
      </w:r>
      <w:r w:rsidR="00A40237" w:rsidRPr="00635B49">
        <w:rPr>
          <w:rFonts w:eastAsia="Calibri" w:cs="Arial"/>
          <w:szCs w:val="22"/>
          <w:lang w:bidi="ar-SA"/>
        </w:rPr>
        <w:t>economies, increased yield, enhanced flavours</w:t>
      </w:r>
      <w:r w:rsidR="00A40237" w:rsidRPr="005640F3">
        <w:rPr>
          <w:rFonts w:eastAsia="Calibri" w:cs="Arial"/>
          <w:szCs w:val="22"/>
          <w:lang w:bidi="ar-SA"/>
        </w:rPr>
        <w:t xml:space="preserve">. </w:t>
      </w:r>
      <w:r w:rsidR="00A40237">
        <w:rPr>
          <w:rFonts w:eastAsia="Calibri" w:cs="Arial"/>
          <w:szCs w:val="22"/>
          <w:lang w:bidi="ar-SA"/>
        </w:rPr>
        <w:t>Thermomycolin can be utilised on a wide range of substrates, specifically vegetable derived</w:t>
      </w:r>
      <w:r w:rsidR="00A40237" w:rsidRPr="00A502E6">
        <w:rPr>
          <w:rFonts w:eastAsia="Calibri" w:cs="Arial"/>
          <w:szCs w:val="22"/>
          <w:lang w:bidi="ar-SA"/>
        </w:rPr>
        <w:t xml:space="preserve"> raw materials</w:t>
      </w:r>
      <w:r w:rsidR="00813FB2">
        <w:rPr>
          <w:rFonts w:eastAsia="Calibri" w:cs="Arial"/>
          <w:szCs w:val="22"/>
          <w:lang w:bidi="ar-SA"/>
        </w:rPr>
        <w:t xml:space="preserve"> </w:t>
      </w:r>
      <w:r w:rsidR="00A40237" w:rsidRPr="00A502E6">
        <w:rPr>
          <w:rFonts w:eastAsia="Calibri" w:cs="Arial"/>
          <w:szCs w:val="22"/>
          <w:lang w:bidi="ar-SA"/>
        </w:rPr>
        <w:t>such as soy, wheat, maize etc</w:t>
      </w:r>
      <w:r w:rsidR="00A40237">
        <w:rPr>
          <w:rFonts w:eastAsia="Calibri" w:cs="Arial"/>
          <w:szCs w:val="22"/>
          <w:lang w:bidi="ar-SA"/>
        </w:rPr>
        <w:t>.</w:t>
      </w:r>
      <w:r w:rsidR="00813FB2">
        <w:rPr>
          <w:rFonts w:eastAsia="Calibri" w:cs="Arial"/>
          <w:szCs w:val="22"/>
          <w:lang w:bidi="ar-SA"/>
        </w:rPr>
        <w:t>,</w:t>
      </w:r>
      <w:r w:rsidR="00A40237">
        <w:rPr>
          <w:rFonts w:eastAsia="Calibri" w:cs="Arial"/>
          <w:szCs w:val="22"/>
          <w:lang w:bidi="ar-SA"/>
        </w:rPr>
        <w:t xml:space="preserve"> animal derived</w:t>
      </w:r>
      <w:r w:rsidR="00A40237" w:rsidRPr="00A502E6">
        <w:rPr>
          <w:rFonts w:eastAsia="Calibri" w:cs="Arial"/>
          <w:szCs w:val="22"/>
          <w:lang w:bidi="ar-SA"/>
        </w:rPr>
        <w:t xml:space="preserve"> raw materials</w:t>
      </w:r>
      <w:r w:rsidR="00813FB2">
        <w:rPr>
          <w:rFonts w:eastAsia="Calibri" w:cs="Arial"/>
          <w:szCs w:val="22"/>
          <w:lang w:bidi="ar-SA"/>
        </w:rPr>
        <w:t xml:space="preserve"> </w:t>
      </w:r>
      <w:r w:rsidR="00A40237" w:rsidRPr="00A502E6">
        <w:rPr>
          <w:rFonts w:eastAsia="Calibri" w:cs="Arial"/>
          <w:szCs w:val="22"/>
          <w:lang w:bidi="ar-SA"/>
        </w:rPr>
        <w:t>such as milk and milk derived products (whey proteins,</w:t>
      </w:r>
      <w:r w:rsidR="00A40237">
        <w:rPr>
          <w:rFonts w:eastAsia="Calibri" w:cs="Arial"/>
          <w:szCs w:val="22"/>
          <w:lang w:bidi="ar-SA"/>
        </w:rPr>
        <w:t xml:space="preserve"> caseins), meat, fish, collagen and</w:t>
      </w:r>
      <w:r w:rsidR="00A40237" w:rsidRPr="00A502E6">
        <w:rPr>
          <w:rFonts w:eastAsia="Calibri" w:cs="Arial"/>
          <w:szCs w:val="22"/>
          <w:lang w:bidi="ar-SA"/>
        </w:rPr>
        <w:t xml:space="preserve"> </w:t>
      </w:r>
      <w:r w:rsidR="00A40237">
        <w:rPr>
          <w:rFonts w:eastAsia="Calibri" w:cs="Arial"/>
          <w:szCs w:val="22"/>
          <w:lang w:bidi="ar-SA"/>
        </w:rPr>
        <w:t>gelatine</w:t>
      </w:r>
      <w:r w:rsidR="00A40237" w:rsidRPr="00A502E6">
        <w:rPr>
          <w:rFonts w:eastAsia="Calibri" w:cs="Arial"/>
          <w:szCs w:val="22"/>
          <w:lang w:bidi="ar-SA"/>
        </w:rPr>
        <w:t>.</w:t>
      </w:r>
    </w:p>
    <w:p w14:paraId="3292F794" w14:textId="77777777" w:rsidR="00A40237" w:rsidRPr="005640F3" w:rsidRDefault="00A40237" w:rsidP="00A40237">
      <w:pPr>
        <w:widowControl/>
        <w:autoSpaceDE w:val="0"/>
        <w:autoSpaceDN w:val="0"/>
        <w:adjustRightInd w:val="0"/>
        <w:rPr>
          <w:rFonts w:eastAsia="Calibri" w:cs="Arial"/>
          <w:szCs w:val="22"/>
          <w:lang w:bidi="ar-SA"/>
        </w:rPr>
      </w:pPr>
    </w:p>
    <w:p w14:paraId="4B30B33E" w14:textId="19E0A5D5" w:rsidR="00A40237" w:rsidRDefault="006B50AF" w:rsidP="00A40237">
      <w:pPr>
        <w:widowControl/>
        <w:autoSpaceDE w:val="0"/>
        <w:autoSpaceDN w:val="0"/>
        <w:adjustRightInd w:val="0"/>
        <w:rPr>
          <w:rFonts w:eastAsia="Calibri" w:cs="Arial"/>
          <w:szCs w:val="22"/>
          <w:lang w:bidi="ar-SA"/>
        </w:rPr>
      </w:pPr>
      <w:r>
        <w:rPr>
          <w:rFonts w:eastAsia="Calibri" w:cs="Arial"/>
          <w:szCs w:val="22"/>
          <w:lang w:bidi="ar-SA"/>
        </w:rPr>
        <w:t>The applicant states that d</w:t>
      </w:r>
      <w:r w:rsidRPr="005640F3">
        <w:rPr>
          <w:rFonts w:eastAsia="Calibri" w:cs="Arial"/>
          <w:szCs w:val="22"/>
          <w:lang w:bidi="ar-SA"/>
        </w:rPr>
        <w:t xml:space="preserve">uring </w:t>
      </w:r>
      <w:r w:rsidR="00A40237" w:rsidRPr="00AE469B">
        <w:rPr>
          <w:rFonts w:eastAsia="Calibri" w:cs="Arial"/>
          <w:szCs w:val="22"/>
          <w:lang w:bidi="ar-SA"/>
        </w:rPr>
        <w:t>fish processing, thermomycolin aids the primary hydrolysis</w:t>
      </w:r>
      <w:r w:rsidR="00A40237">
        <w:rPr>
          <w:rFonts w:eastAsia="Calibri" w:cs="Arial"/>
          <w:szCs w:val="22"/>
          <w:lang w:bidi="ar-SA"/>
        </w:rPr>
        <w:t xml:space="preserve"> by</w:t>
      </w:r>
      <w:r w:rsidR="00A40237" w:rsidRPr="00AE469B">
        <w:rPr>
          <w:rFonts w:eastAsia="Calibri" w:cs="Arial"/>
          <w:szCs w:val="22"/>
          <w:lang w:bidi="ar-SA"/>
        </w:rPr>
        <w:t xml:space="preserve"> separating the protein fraction (fish hydrolysates) from the bones and oil fraction. </w:t>
      </w:r>
    </w:p>
    <w:p w14:paraId="2659407E" w14:textId="77777777" w:rsidR="00A40237" w:rsidRDefault="00A40237" w:rsidP="00A40237">
      <w:pPr>
        <w:widowControl/>
        <w:autoSpaceDE w:val="0"/>
        <w:autoSpaceDN w:val="0"/>
        <w:adjustRightInd w:val="0"/>
        <w:rPr>
          <w:rFonts w:eastAsia="Calibri" w:cs="Arial"/>
          <w:szCs w:val="22"/>
          <w:lang w:bidi="ar-SA"/>
        </w:rPr>
      </w:pPr>
    </w:p>
    <w:p w14:paraId="490BFBFD" w14:textId="77777777" w:rsidR="00A40237" w:rsidRPr="00AE469B" w:rsidRDefault="00A40237" w:rsidP="00A40237">
      <w:pPr>
        <w:widowControl/>
        <w:autoSpaceDE w:val="0"/>
        <w:autoSpaceDN w:val="0"/>
        <w:adjustRightInd w:val="0"/>
        <w:rPr>
          <w:rFonts w:eastAsia="Calibri" w:cs="Arial"/>
          <w:szCs w:val="22"/>
          <w:lang w:bidi="ar-SA"/>
        </w:rPr>
      </w:pPr>
      <w:r w:rsidRPr="00AE469B">
        <w:rPr>
          <w:rFonts w:eastAsia="Calibri" w:cs="Arial"/>
          <w:szCs w:val="22"/>
          <w:lang w:bidi="ar-SA"/>
        </w:rPr>
        <w:t xml:space="preserve">Thermomycolin benefits the production of concentrated fish hydrolysates by: </w:t>
      </w:r>
    </w:p>
    <w:p w14:paraId="6BCEE70F" w14:textId="417ADA5B" w:rsidR="00A40237" w:rsidRPr="00AE469B" w:rsidRDefault="00A40237" w:rsidP="00A40237">
      <w:pPr>
        <w:widowControl/>
        <w:numPr>
          <w:ilvl w:val="0"/>
          <w:numId w:val="13"/>
        </w:numPr>
        <w:autoSpaceDE w:val="0"/>
        <w:autoSpaceDN w:val="0"/>
        <w:adjustRightInd w:val="0"/>
        <w:rPr>
          <w:rFonts w:eastAsia="Calibri" w:cs="Arial"/>
          <w:szCs w:val="22"/>
          <w:lang w:bidi="ar-SA"/>
        </w:rPr>
      </w:pPr>
      <w:r w:rsidRPr="00AE469B">
        <w:rPr>
          <w:rFonts w:eastAsia="Calibri" w:cs="Arial"/>
          <w:szCs w:val="22"/>
          <w:lang w:bidi="ar-SA"/>
        </w:rPr>
        <w:t>improving liq</w:t>
      </w:r>
      <w:r w:rsidR="00C01354">
        <w:rPr>
          <w:rFonts w:eastAsia="Calibri" w:cs="Arial"/>
          <w:szCs w:val="22"/>
          <w:lang w:bidi="ar-SA"/>
        </w:rPr>
        <w:t>uid/solid separation process,</w:t>
      </w:r>
      <w:r w:rsidRPr="00AE469B">
        <w:rPr>
          <w:rFonts w:eastAsia="Calibri" w:cs="Arial"/>
          <w:szCs w:val="22"/>
          <w:lang w:bidi="ar-SA"/>
        </w:rPr>
        <w:t xml:space="preserve"> leading to higher yield of soluble proteins and peptides</w:t>
      </w:r>
    </w:p>
    <w:p w14:paraId="7B831598" w14:textId="77777777" w:rsidR="00A40237" w:rsidRPr="00AE469B" w:rsidRDefault="00A40237" w:rsidP="00A40237">
      <w:pPr>
        <w:widowControl/>
        <w:numPr>
          <w:ilvl w:val="0"/>
          <w:numId w:val="13"/>
        </w:numPr>
        <w:autoSpaceDE w:val="0"/>
        <w:autoSpaceDN w:val="0"/>
        <w:adjustRightInd w:val="0"/>
        <w:rPr>
          <w:rFonts w:eastAsia="Calibri" w:cs="Arial"/>
          <w:szCs w:val="22"/>
          <w:lang w:bidi="ar-SA"/>
        </w:rPr>
      </w:pPr>
      <w:r w:rsidRPr="00AE469B">
        <w:rPr>
          <w:rFonts w:eastAsia="Calibri" w:cs="Arial"/>
          <w:szCs w:val="22"/>
          <w:lang w:bidi="ar-SA"/>
        </w:rPr>
        <w:t xml:space="preserve">improving the quality of the finished products and maximising the value of the trimmings </w:t>
      </w:r>
    </w:p>
    <w:p w14:paraId="6EE05ED4" w14:textId="355C8C74" w:rsidR="00A40237" w:rsidRPr="00AE469B" w:rsidRDefault="00A40237" w:rsidP="00A40237">
      <w:pPr>
        <w:widowControl/>
        <w:numPr>
          <w:ilvl w:val="0"/>
          <w:numId w:val="13"/>
        </w:numPr>
        <w:autoSpaceDE w:val="0"/>
        <w:autoSpaceDN w:val="0"/>
        <w:adjustRightInd w:val="0"/>
        <w:rPr>
          <w:rFonts w:eastAsia="Calibri" w:cs="Arial"/>
          <w:szCs w:val="22"/>
          <w:lang w:bidi="ar-SA"/>
        </w:rPr>
      </w:pPr>
      <w:r w:rsidRPr="00AE469B">
        <w:rPr>
          <w:rFonts w:eastAsia="Calibri" w:cs="Arial"/>
          <w:szCs w:val="22"/>
          <w:lang w:bidi="ar-SA"/>
        </w:rPr>
        <w:t xml:space="preserve">allowing mild process conditions compared to alternative protein hydrolysis processes </w:t>
      </w:r>
      <w:r>
        <w:rPr>
          <w:rFonts w:eastAsia="Calibri" w:cs="Arial"/>
          <w:szCs w:val="22"/>
          <w:lang w:bidi="ar-SA"/>
        </w:rPr>
        <w:t>such as</w:t>
      </w:r>
      <w:r w:rsidR="00C01354">
        <w:rPr>
          <w:rFonts w:eastAsia="Calibri" w:cs="Arial"/>
          <w:szCs w:val="22"/>
          <w:lang w:bidi="ar-SA"/>
        </w:rPr>
        <w:t xml:space="preserve"> alkaline,</w:t>
      </w:r>
      <w:r w:rsidRPr="00AE469B">
        <w:rPr>
          <w:rFonts w:eastAsia="Calibri" w:cs="Arial"/>
          <w:szCs w:val="22"/>
          <w:lang w:bidi="ar-SA"/>
        </w:rPr>
        <w:t xml:space="preserve"> acid hydrolysis or heat treatment </w:t>
      </w:r>
    </w:p>
    <w:p w14:paraId="30A2D989" w14:textId="22817567" w:rsidR="00A40237" w:rsidRPr="00AE469B" w:rsidRDefault="00A40237" w:rsidP="00A40237">
      <w:pPr>
        <w:widowControl/>
        <w:numPr>
          <w:ilvl w:val="0"/>
          <w:numId w:val="13"/>
        </w:numPr>
        <w:autoSpaceDE w:val="0"/>
        <w:autoSpaceDN w:val="0"/>
        <w:adjustRightInd w:val="0"/>
        <w:rPr>
          <w:rFonts w:eastAsia="Calibri" w:cs="Arial"/>
          <w:szCs w:val="22"/>
          <w:lang w:bidi="ar-SA"/>
        </w:rPr>
      </w:pPr>
      <w:r w:rsidRPr="00AE469B">
        <w:rPr>
          <w:rFonts w:eastAsia="Calibri" w:cs="Arial"/>
          <w:szCs w:val="22"/>
          <w:lang w:bidi="ar-SA"/>
        </w:rPr>
        <w:t>reducing viscosity, leading to improvement of the overall processing of fi</w:t>
      </w:r>
      <w:r>
        <w:rPr>
          <w:rFonts w:eastAsia="Calibri" w:cs="Arial"/>
          <w:szCs w:val="22"/>
          <w:lang w:bidi="ar-SA"/>
        </w:rPr>
        <w:t>sh products, improving the</w:t>
      </w:r>
      <w:r w:rsidRPr="00AE469B">
        <w:rPr>
          <w:rFonts w:eastAsia="Calibri" w:cs="Arial"/>
          <w:szCs w:val="22"/>
          <w:lang w:bidi="ar-SA"/>
        </w:rPr>
        <w:t xml:space="preserve"> evaporation rate of the fish hydrolysate, providing a higher solids proportion, reduced energy consumption during drying and reduced scaling of equipment</w:t>
      </w:r>
      <w:r w:rsidR="00813FB2">
        <w:rPr>
          <w:rFonts w:eastAsia="Calibri" w:cs="Arial"/>
          <w:szCs w:val="22"/>
          <w:lang w:bidi="ar-SA"/>
        </w:rPr>
        <w:t xml:space="preserve">, </w:t>
      </w:r>
      <w:r>
        <w:rPr>
          <w:rFonts w:eastAsia="Calibri" w:cs="Arial"/>
          <w:szCs w:val="22"/>
          <w:lang w:bidi="ar-SA"/>
        </w:rPr>
        <w:t>hence</w:t>
      </w:r>
      <w:r w:rsidRPr="00AE469B">
        <w:rPr>
          <w:rFonts w:eastAsia="Calibri" w:cs="Arial"/>
          <w:szCs w:val="22"/>
          <w:lang w:bidi="ar-SA"/>
        </w:rPr>
        <w:t xml:space="preserve"> reduced cleaning cycles. </w:t>
      </w:r>
    </w:p>
    <w:p w14:paraId="7280339C" w14:textId="77777777" w:rsidR="00A40237" w:rsidRPr="004242AA" w:rsidRDefault="00A40237" w:rsidP="00A40237">
      <w:pPr>
        <w:widowControl/>
        <w:autoSpaceDE w:val="0"/>
        <w:autoSpaceDN w:val="0"/>
        <w:adjustRightInd w:val="0"/>
        <w:rPr>
          <w:rFonts w:eastAsia="Calibri" w:cs="Arial"/>
          <w:szCs w:val="22"/>
          <w:lang w:bidi="ar-SA"/>
        </w:rPr>
      </w:pPr>
    </w:p>
    <w:p w14:paraId="3B48D584" w14:textId="6D6B3283" w:rsidR="00A40237" w:rsidRPr="004242AA" w:rsidRDefault="00A40237" w:rsidP="00A40237">
      <w:pPr>
        <w:widowControl/>
        <w:autoSpaceDE w:val="0"/>
        <w:autoSpaceDN w:val="0"/>
        <w:adjustRightInd w:val="0"/>
        <w:rPr>
          <w:rFonts w:eastAsia="Calibri" w:cs="Arial"/>
          <w:szCs w:val="22"/>
          <w:lang w:bidi="ar-SA"/>
        </w:rPr>
      </w:pPr>
      <w:r w:rsidRPr="005640F3">
        <w:rPr>
          <w:rFonts w:eastAsia="Calibri" w:cs="Arial"/>
          <w:bCs/>
          <w:szCs w:val="22"/>
          <w:lang w:bidi="ar-SA"/>
        </w:rPr>
        <w:t>D</w:t>
      </w:r>
      <w:r w:rsidRPr="004242AA">
        <w:rPr>
          <w:rFonts w:eastAsia="Calibri" w:cs="Arial"/>
          <w:bCs/>
          <w:szCs w:val="22"/>
          <w:lang w:bidi="ar-SA"/>
        </w:rPr>
        <w:t xml:space="preserve">uring meat processing, </w:t>
      </w:r>
      <w:r w:rsidRPr="004242AA">
        <w:rPr>
          <w:rFonts w:eastAsia="Calibri" w:cs="Arial"/>
          <w:szCs w:val="22"/>
          <w:lang w:bidi="ar-SA"/>
        </w:rPr>
        <w:t>thermomycolin is used to facilitate protein hydroly</w:t>
      </w:r>
      <w:r>
        <w:rPr>
          <w:rFonts w:eastAsia="Calibri" w:cs="Arial"/>
          <w:szCs w:val="22"/>
          <w:lang w:bidi="ar-SA"/>
        </w:rPr>
        <w:t>sis in meat by-</w:t>
      </w:r>
      <w:r w:rsidRPr="004242AA">
        <w:rPr>
          <w:rFonts w:eastAsia="Calibri" w:cs="Arial"/>
          <w:szCs w:val="22"/>
          <w:lang w:bidi="ar-SA"/>
        </w:rPr>
        <w:t xml:space="preserve">products (e.g. bone cleaning, </w:t>
      </w:r>
      <w:r>
        <w:rPr>
          <w:rFonts w:eastAsia="Calibri" w:cs="Arial"/>
          <w:szCs w:val="22"/>
          <w:lang w:bidi="ar-SA"/>
        </w:rPr>
        <w:t>gelatine</w:t>
      </w:r>
      <w:r w:rsidRPr="004242AA">
        <w:rPr>
          <w:rFonts w:eastAsia="Calibri" w:cs="Arial"/>
          <w:szCs w:val="22"/>
          <w:lang w:bidi="ar-SA"/>
        </w:rPr>
        <w:t xml:space="preserve"> production etc.) and the production of meat hydrolysates (meat or bone stoc</w:t>
      </w:r>
      <w:r>
        <w:rPr>
          <w:rFonts w:eastAsia="Calibri" w:cs="Arial"/>
          <w:szCs w:val="22"/>
          <w:lang w:bidi="ar-SA"/>
        </w:rPr>
        <w:t>ks, hydrolysed animal proteins</w:t>
      </w:r>
      <w:r w:rsidRPr="004242AA">
        <w:rPr>
          <w:rFonts w:eastAsia="Calibri" w:cs="Arial"/>
          <w:szCs w:val="22"/>
          <w:lang w:bidi="ar-SA"/>
        </w:rPr>
        <w:t xml:space="preserve">). </w:t>
      </w:r>
    </w:p>
    <w:p w14:paraId="74340DE1" w14:textId="1A5694EF" w:rsidR="00A40237" w:rsidRPr="004242AA" w:rsidRDefault="00A40237" w:rsidP="00A40237">
      <w:pPr>
        <w:widowControl/>
        <w:autoSpaceDE w:val="0"/>
        <w:autoSpaceDN w:val="0"/>
        <w:adjustRightInd w:val="0"/>
        <w:rPr>
          <w:rFonts w:eastAsia="Calibri" w:cs="Arial"/>
          <w:bCs/>
          <w:szCs w:val="22"/>
          <w:lang w:bidi="ar-SA"/>
        </w:rPr>
      </w:pPr>
      <w:r w:rsidRPr="004242AA">
        <w:rPr>
          <w:rFonts w:eastAsia="Calibri" w:cs="Arial"/>
          <w:bCs/>
          <w:szCs w:val="22"/>
          <w:lang w:bidi="ar-SA"/>
        </w:rPr>
        <w:t xml:space="preserve">The benefits of </w:t>
      </w:r>
      <w:r w:rsidRPr="004242AA">
        <w:rPr>
          <w:rFonts w:eastAsia="Calibri" w:cs="Arial"/>
          <w:szCs w:val="22"/>
          <w:lang w:bidi="ar-SA"/>
        </w:rPr>
        <w:t>thermomycolin</w:t>
      </w:r>
      <w:r w:rsidRPr="004242AA">
        <w:rPr>
          <w:rFonts w:eastAsia="Calibri" w:cs="Arial"/>
          <w:bCs/>
          <w:szCs w:val="22"/>
          <w:lang w:bidi="ar-SA"/>
        </w:rPr>
        <w:t xml:space="preserve"> in meat processing are similar to those described above for fish processing</w:t>
      </w:r>
      <w:r w:rsidR="00813FB2">
        <w:rPr>
          <w:rFonts w:eastAsia="Calibri" w:cs="Arial"/>
          <w:bCs/>
          <w:szCs w:val="22"/>
          <w:lang w:bidi="ar-SA"/>
        </w:rPr>
        <w:t>. I</w:t>
      </w:r>
      <w:r w:rsidRPr="004242AA">
        <w:rPr>
          <w:rFonts w:eastAsia="Calibri" w:cs="Arial"/>
          <w:bCs/>
          <w:szCs w:val="22"/>
          <w:lang w:bidi="ar-SA"/>
        </w:rPr>
        <w:t xml:space="preserve">n addition, for </w:t>
      </w:r>
      <w:r>
        <w:rPr>
          <w:rFonts w:eastAsia="Calibri" w:cs="Arial"/>
          <w:bCs/>
          <w:szCs w:val="22"/>
          <w:lang w:bidi="ar-SA"/>
        </w:rPr>
        <w:t>gelatine</w:t>
      </w:r>
      <w:r w:rsidRPr="004242AA">
        <w:rPr>
          <w:rFonts w:eastAsia="Calibri" w:cs="Arial"/>
          <w:bCs/>
          <w:szCs w:val="22"/>
          <w:lang w:bidi="ar-SA"/>
        </w:rPr>
        <w:t xml:space="preserve"> production, the </w:t>
      </w:r>
      <w:r w:rsidR="00081DDB">
        <w:rPr>
          <w:rFonts w:eastAsia="Calibri" w:cs="Arial"/>
          <w:bCs/>
          <w:szCs w:val="22"/>
          <w:lang w:bidi="ar-SA"/>
        </w:rPr>
        <w:t xml:space="preserve">applicant states the </w:t>
      </w:r>
      <w:r w:rsidRPr="004242AA">
        <w:rPr>
          <w:rFonts w:eastAsia="Calibri" w:cs="Arial"/>
          <w:bCs/>
          <w:szCs w:val="22"/>
          <w:lang w:bidi="ar-SA"/>
        </w:rPr>
        <w:t xml:space="preserve">benefits </w:t>
      </w:r>
      <w:r w:rsidR="00081DDB" w:rsidRPr="004242AA">
        <w:rPr>
          <w:rFonts w:eastAsia="Calibri" w:cs="Arial"/>
          <w:bCs/>
          <w:szCs w:val="22"/>
          <w:lang w:bidi="ar-SA"/>
        </w:rPr>
        <w:t>a</w:t>
      </w:r>
      <w:r w:rsidR="00081DDB">
        <w:rPr>
          <w:rFonts w:eastAsia="Calibri" w:cs="Arial"/>
          <w:bCs/>
          <w:szCs w:val="22"/>
          <w:lang w:bidi="ar-SA"/>
        </w:rPr>
        <w:t>s</w:t>
      </w:r>
      <w:r w:rsidRPr="004242AA">
        <w:rPr>
          <w:rFonts w:eastAsia="Calibri" w:cs="Arial"/>
          <w:bCs/>
          <w:szCs w:val="22"/>
          <w:lang w:bidi="ar-SA"/>
        </w:rPr>
        <w:t xml:space="preserve">: </w:t>
      </w:r>
    </w:p>
    <w:p w14:paraId="0C056448" w14:textId="79FE8D3A" w:rsidR="00A40237" w:rsidRPr="004242AA" w:rsidRDefault="00081DDB" w:rsidP="00A40237">
      <w:pPr>
        <w:widowControl/>
        <w:numPr>
          <w:ilvl w:val="0"/>
          <w:numId w:val="13"/>
        </w:numPr>
        <w:autoSpaceDE w:val="0"/>
        <w:autoSpaceDN w:val="0"/>
        <w:adjustRightInd w:val="0"/>
        <w:rPr>
          <w:rFonts w:eastAsia="Calibri" w:cs="Arial"/>
          <w:szCs w:val="22"/>
          <w:lang w:bidi="ar-SA"/>
        </w:rPr>
      </w:pPr>
      <w:r>
        <w:rPr>
          <w:rFonts w:eastAsia="Calibri" w:cs="Arial"/>
          <w:szCs w:val="22"/>
          <w:lang w:bidi="ar-SA"/>
        </w:rPr>
        <w:t xml:space="preserve">providing a </w:t>
      </w:r>
      <w:r w:rsidR="00A40237" w:rsidRPr="004242AA">
        <w:rPr>
          <w:rFonts w:eastAsia="Calibri" w:cs="Arial"/>
          <w:szCs w:val="22"/>
          <w:lang w:bidi="ar-SA"/>
        </w:rPr>
        <w:t>significant cost reduction and capacity increase through reduction in soaking and liming times</w:t>
      </w:r>
    </w:p>
    <w:p w14:paraId="45E4D53A" w14:textId="5C35E013" w:rsidR="00A40237" w:rsidRPr="005640F3" w:rsidRDefault="00081DDB" w:rsidP="00A40237">
      <w:pPr>
        <w:widowControl/>
        <w:numPr>
          <w:ilvl w:val="0"/>
          <w:numId w:val="13"/>
        </w:numPr>
        <w:autoSpaceDE w:val="0"/>
        <w:autoSpaceDN w:val="0"/>
        <w:adjustRightInd w:val="0"/>
        <w:rPr>
          <w:rFonts w:eastAsia="Calibri" w:cs="Arial"/>
          <w:szCs w:val="22"/>
          <w:lang w:bidi="ar-SA"/>
        </w:rPr>
      </w:pPr>
      <w:r w:rsidRPr="005640F3">
        <w:rPr>
          <w:rFonts w:eastAsia="Calibri" w:cs="Arial"/>
          <w:szCs w:val="22"/>
          <w:lang w:bidi="ar-SA"/>
        </w:rPr>
        <w:t>increas</w:t>
      </w:r>
      <w:r>
        <w:rPr>
          <w:rFonts w:eastAsia="Calibri" w:cs="Arial"/>
          <w:szCs w:val="22"/>
          <w:lang w:bidi="ar-SA"/>
        </w:rPr>
        <w:t>ing the</w:t>
      </w:r>
      <w:r w:rsidRPr="005640F3">
        <w:rPr>
          <w:rFonts w:eastAsia="Calibri" w:cs="Arial"/>
          <w:szCs w:val="22"/>
          <w:lang w:bidi="ar-SA"/>
        </w:rPr>
        <w:t xml:space="preserve"> </w:t>
      </w:r>
      <w:r w:rsidR="00A40237">
        <w:rPr>
          <w:rFonts w:eastAsia="Calibri" w:cs="Arial"/>
          <w:szCs w:val="22"/>
          <w:lang w:bidi="ar-SA"/>
        </w:rPr>
        <w:t>gelatine</w:t>
      </w:r>
      <w:r w:rsidR="00A40237" w:rsidRPr="005640F3">
        <w:rPr>
          <w:rFonts w:eastAsia="Calibri" w:cs="Arial"/>
          <w:szCs w:val="22"/>
          <w:lang w:bidi="ar-SA"/>
        </w:rPr>
        <w:t xml:space="preserve"> yield</w:t>
      </w:r>
    </w:p>
    <w:p w14:paraId="76D4FF50" w14:textId="54773696" w:rsidR="00A40237" w:rsidRPr="005640F3" w:rsidRDefault="00081DDB" w:rsidP="00A40237">
      <w:pPr>
        <w:widowControl/>
        <w:numPr>
          <w:ilvl w:val="0"/>
          <w:numId w:val="13"/>
        </w:numPr>
        <w:autoSpaceDE w:val="0"/>
        <w:autoSpaceDN w:val="0"/>
        <w:adjustRightInd w:val="0"/>
        <w:rPr>
          <w:rFonts w:eastAsia="Calibri" w:cs="Arial"/>
          <w:szCs w:val="22"/>
          <w:lang w:bidi="ar-SA"/>
        </w:rPr>
      </w:pPr>
      <w:r w:rsidRPr="005640F3">
        <w:rPr>
          <w:rFonts w:eastAsia="Calibri" w:cs="Arial"/>
          <w:szCs w:val="22"/>
          <w:lang w:bidi="ar-SA"/>
        </w:rPr>
        <w:t>improv</w:t>
      </w:r>
      <w:r>
        <w:rPr>
          <w:rFonts w:eastAsia="Calibri" w:cs="Arial"/>
          <w:szCs w:val="22"/>
          <w:lang w:bidi="ar-SA"/>
        </w:rPr>
        <w:t xml:space="preserve">ing the </w:t>
      </w:r>
      <w:r w:rsidR="00A40237" w:rsidRPr="005640F3">
        <w:rPr>
          <w:rFonts w:eastAsia="Calibri" w:cs="Arial"/>
          <w:szCs w:val="22"/>
          <w:lang w:bidi="ar-SA"/>
        </w:rPr>
        <w:t xml:space="preserve">raw material quality </w:t>
      </w:r>
      <w:r w:rsidR="00A40237">
        <w:rPr>
          <w:rFonts w:eastAsia="Calibri" w:cs="Arial"/>
          <w:szCs w:val="22"/>
          <w:lang w:bidi="ar-SA"/>
        </w:rPr>
        <w:t xml:space="preserve">by way of </w:t>
      </w:r>
      <w:r w:rsidR="00A40237" w:rsidRPr="005640F3">
        <w:rPr>
          <w:rFonts w:eastAsia="Calibri" w:cs="Arial"/>
          <w:szCs w:val="22"/>
          <w:lang w:bidi="ar-SA"/>
        </w:rPr>
        <w:t>cleaner bones</w:t>
      </w:r>
      <w:r w:rsidR="00813FB2">
        <w:rPr>
          <w:rFonts w:eastAsia="Calibri" w:cs="Arial"/>
          <w:szCs w:val="22"/>
          <w:lang w:bidi="ar-SA"/>
        </w:rPr>
        <w:t>.</w:t>
      </w:r>
      <w:r w:rsidR="00A40237" w:rsidRPr="005640F3">
        <w:rPr>
          <w:rFonts w:eastAsia="Calibri" w:cs="Arial"/>
          <w:szCs w:val="22"/>
          <w:lang w:bidi="ar-SA"/>
        </w:rPr>
        <w:t xml:space="preserve"> </w:t>
      </w:r>
    </w:p>
    <w:p w14:paraId="645399D2" w14:textId="77777777" w:rsidR="00A40237" w:rsidRPr="005640F3" w:rsidRDefault="00A40237" w:rsidP="00A40237">
      <w:pPr>
        <w:widowControl/>
        <w:autoSpaceDE w:val="0"/>
        <w:autoSpaceDN w:val="0"/>
        <w:adjustRightInd w:val="0"/>
        <w:rPr>
          <w:rFonts w:eastAsia="Calibri" w:cs="Arial"/>
          <w:szCs w:val="22"/>
          <w:lang w:bidi="ar-SA"/>
        </w:rPr>
      </w:pPr>
    </w:p>
    <w:p w14:paraId="4328DA82" w14:textId="3666D3D0" w:rsidR="00BB5553" w:rsidRDefault="00BB5553" w:rsidP="002440DB">
      <w:pPr>
        <w:widowControl/>
        <w:autoSpaceDE w:val="0"/>
        <w:autoSpaceDN w:val="0"/>
        <w:adjustRightInd w:val="0"/>
        <w:rPr>
          <w:rFonts w:eastAsia="Calibri" w:cs="Arial"/>
          <w:szCs w:val="22"/>
          <w:lang w:bidi="ar-SA"/>
        </w:rPr>
      </w:pPr>
      <w:r w:rsidRPr="00BB5553">
        <w:rPr>
          <w:rFonts w:eastAsia="Calibri" w:cs="Arial"/>
          <w:szCs w:val="22"/>
          <w:lang w:bidi="ar-SA"/>
        </w:rPr>
        <w:t>The stated technological purpose of serine endopeptidases</w:t>
      </w:r>
      <w:r>
        <w:rPr>
          <w:rFonts w:eastAsia="Calibri" w:cs="Arial"/>
          <w:szCs w:val="22"/>
          <w:lang w:bidi="ar-SA"/>
        </w:rPr>
        <w:t>, including</w:t>
      </w:r>
      <w:r w:rsidRPr="00BB5553">
        <w:rPr>
          <w:rFonts w:eastAsia="Calibri" w:cs="Arial"/>
          <w:szCs w:val="22"/>
          <w:lang w:bidi="ar-SA"/>
        </w:rPr>
        <w:t xml:space="preserve"> thermomycolin</w:t>
      </w:r>
      <w:r>
        <w:rPr>
          <w:rFonts w:eastAsia="Calibri" w:cs="Arial"/>
          <w:szCs w:val="22"/>
          <w:lang w:bidi="ar-SA"/>
        </w:rPr>
        <w:t>,</w:t>
      </w:r>
      <w:r w:rsidRPr="00BB5553">
        <w:rPr>
          <w:rFonts w:eastAsia="Calibri" w:cs="Arial"/>
          <w:szCs w:val="22"/>
          <w:lang w:bidi="ar-SA"/>
        </w:rPr>
        <w:t xml:space="preserve"> is supported by sci</w:t>
      </w:r>
      <w:r>
        <w:rPr>
          <w:rFonts w:eastAsia="Calibri" w:cs="Arial"/>
          <w:szCs w:val="22"/>
          <w:lang w:bidi="ar-SA"/>
        </w:rPr>
        <w:t>entific literature (</w:t>
      </w:r>
      <w:r w:rsidRPr="00BB5553">
        <w:rPr>
          <w:rFonts w:eastAsia="Calibri" w:cs="Arial"/>
          <w:szCs w:val="22"/>
          <w:lang w:bidi="ar-SA"/>
        </w:rPr>
        <w:t>Damodaran et al, 2008; Nagodawithana and Reed,1993).</w:t>
      </w:r>
    </w:p>
    <w:p w14:paraId="41AC384C" w14:textId="77777777" w:rsidR="00BB5553" w:rsidRDefault="00BB5553" w:rsidP="002440DB">
      <w:pPr>
        <w:widowControl/>
        <w:autoSpaceDE w:val="0"/>
        <w:autoSpaceDN w:val="0"/>
        <w:adjustRightInd w:val="0"/>
        <w:rPr>
          <w:rFonts w:eastAsia="Calibri" w:cs="Arial"/>
          <w:szCs w:val="22"/>
          <w:lang w:bidi="ar-SA"/>
        </w:rPr>
      </w:pPr>
    </w:p>
    <w:p w14:paraId="5A2C1D8D" w14:textId="5B0EE974" w:rsidR="00A40237" w:rsidRPr="001D1FB4" w:rsidRDefault="00081DDB" w:rsidP="002440DB">
      <w:pPr>
        <w:widowControl/>
        <w:autoSpaceDE w:val="0"/>
        <w:autoSpaceDN w:val="0"/>
        <w:adjustRightInd w:val="0"/>
        <w:rPr>
          <w:lang w:eastAsia="en-AU" w:bidi="ar-SA"/>
        </w:rPr>
      </w:pPr>
      <w:r>
        <w:rPr>
          <w:rFonts w:eastAsia="Calibri" w:cs="Arial"/>
          <w:szCs w:val="22"/>
          <w:lang w:bidi="ar-SA"/>
        </w:rPr>
        <w:lastRenderedPageBreak/>
        <w:t>T</w:t>
      </w:r>
      <w:r w:rsidR="00A40237" w:rsidRPr="004242AA">
        <w:rPr>
          <w:rFonts w:eastAsia="Calibri" w:cs="Arial"/>
          <w:szCs w:val="22"/>
          <w:lang w:bidi="ar-SA"/>
        </w:rPr>
        <w:t>hermomycolin performs its technological function during the hydrolysis</w:t>
      </w:r>
      <w:r w:rsidR="00A40237">
        <w:rPr>
          <w:rFonts w:eastAsia="Calibri" w:cs="Arial"/>
          <w:szCs w:val="22"/>
          <w:lang w:bidi="ar-SA"/>
        </w:rPr>
        <w:t xml:space="preserve"> of the various substrates</w:t>
      </w:r>
      <w:r w:rsidR="00F2541C" w:rsidRPr="00F2541C">
        <w:rPr>
          <w:rFonts w:eastAsia="Calibri" w:cs="Arial"/>
          <w:szCs w:val="22"/>
          <w:lang w:bidi="ar-SA"/>
        </w:rPr>
        <w:t xml:space="preserve"> </w:t>
      </w:r>
      <w:r w:rsidR="00F2541C">
        <w:rPr>
          <w:rFonts w:eastAsia="Calibri" w:cs="Arial"/>
          <w:szCs w:val="22"/>
          <w:lang w:bidi="ar-SA"/>
        </w:rPr>
        <w:t>only</w:t>
      </w:r>
      <w:r>
        <w:rPr>
          <w:rFonts w:eastAsia="Calibri" w:cs="Arial"/>
          <w:szCs w:val="22"/>
          <w:lang w:bidi="ar-SA"/>
        </w:rPr>
        <w:t>.</w:t>
      </w:r>
      <w:r w:rsidR="00A40237">
        <w:rPr>
          <w:rFonts w:eastAsia="Calibri" w:cs="Arial"/>
          <w:szCs w:val="22"/>
          <w:lang w:bidi="ar-SA"/>
        </w:rPr>
        <w:t xml:space="preserve"> </w:t>
      </w:r>
      <w:r>
        <w:rPr>
          <w:rFonts w:eastAsia="Calibri" w:cs="Arial"/>
          <w:szCs w:val="22"/>
          <w:lang w:bidi="ar-SA"/>
        </w:rPr>
        <w:t>I</w:t>
      </w:r>
      <w:r w:rsidR="00A40237">
        <w:rPr>
          <w:rFonts w:eastAsia="Calibri" w:cs="Arial"/>
          <w:szCs w:val="22"/>
          <w:lang w:bidi="ar-SA"/>
        </w:rPr>
        <w:t>t</w:t>
      </w:r>
      <w:r w:rsidR="00A40237" w:rsidRPr="004242AA">
        <w:rPr>
          <w:rFonts w:eastAsia="Calibri" w:cs="Arial"/>
          <w:szCs w:val="22"/>
          <w:lang w:bidi="ar-SA"/>
        </w:rPr>
        <w:t xml:space="preserve"> is inactivated during the evaporation</w:t>
      </w:r>
      <w:r w:rsidR="00BB5553">
        <w:rPr>
          <w:rFonts w:eastAsia="Calibri" w:cs="Arial"/>
          <w:szCs w:val="22"/>
          <w:lang w:bidi="ar-SA"/>
        </w:rPr>
        <w:t xml:space="preserve">/concentration stage of the protein </w:t>
      </w:r>
      <w:r>
        <w:rPr>
          <w:rFonts w:eastAsia="Calibri" w:cs="Arial"/>
          <w:szCs w:val="22"/>
          <w:lang w:bidi="ar-SA"/>
        </w:rPr>
        <w:t>hydrolysate</w:t>
      </w:r>
      <w:r w:rsidR="00BB5553">
        <w:rPr>
          <w:rFonts w:eastAsia="Calibri" w:cs="Arial"/>
          <w:szCs w:val="22"/>
          <w:lang w:bidi="ar-SA"/>
        </w:rPr>
        <w:t xml:space="preserve"> product</w:t>
      </w:r>
      <w:r>
        <w:rPr>
          <w:rFonts w:eastAsia="Calibri" w:cs="Arial"/>
          <w:szCs w:val="22"/>
          <w:lang w:bidi="ar-SA"/>
        </w:rPr>
        <w:t>ion process</w:t>
      </w:r>
      <w:r w:rsidR="00A40237" w:rsidRPr="004242AA">
        <w:rPr>
          <w:rFonts w:eastAsia="Calibri" w:cs="Arial"/>
          <w:szCs w:val="22"/>
          <w:lang w:bidi="ar-SA"/>
        </w:rPr>
        <w:t>, w</w:t>
      </w:r>
      <w:r w:rsidR="00BB5553">
        <w:rPr>
          <w:rFonts w:eastAsia="Calibri" w:cs="Arial"/>
          <w:szCs w:val="22"/>
          <w:lang w:bidi="ar-SA"/>
        </w:rPr>
        <w:t>here</w:t>
      </w:r>
      <w:r w:rsidR="00A40237" w:rsidRPr="004242AA">
        <w:rPr>
          <w:rFonts w:eastAsia="Calibri" w:cs="Arial"/>
          <w:szCs w:val="22"/>
          <w:lang w:bidi="ar-SA"/>
        </w:rPr>
        <w:t xml:space="preserve"> temperatures </w:t>
      </w:r>
      <w:r w:rsidR="00A40237">
        <w:rPr>
          <w:rFonts w:eastAsia="Calibri" w:cs="Arial"/>
          <w:szCs w:val="22"/>
          <w:lang w:bidi="ar-SA"/>
        </w:rPr>
        <w:t xml:space="preserve">in </w:t>
      </w:r>
      <w:r w:rsidR="00BB5553">
        <w:rPr>
          <w:rFonts w:eastAsia="Calibri" w:cs="Arial"/>
          <w:szCs w:val="22"/>
          <w:lang w:bidi="ar-SA"/>
        </w:rPr>
        <w:t xml:space="preserve">exceed </w:t>
      </w:r>
      <w:r w:rsidR="00A40237" w:rsidRPr="004242AA">
        <w:rPr>
          <w:rFonts w:eastAsia="Calibri" w:cs="Arial"/>
          <w:szCs w:val="22"/>
          <w:lang w:bidi="ar-SA"/>
        </w:rPr>
        <w:t xml:space="preserve">85°C and by the </w:t>
      </w:r>
      <w:r w:rsidR="00A40237" w:rsidRPr="005640F3">
        <w:rPr>
          <w:rFonts w:eastAsia="Calibri" w:cs="Arial"/>
          <w:szCs w:val="22"/>
          <w:lang w:bidi="ar-SA"/>
        </w:rPr>
        <w:t xml:space="preserve">subsequent pasteurisation or sterilisation steps. </w:t>
      </w:r>
    </w:p>
    <w:p w14:paraId="11D3AB49" w14:textId="0EBA455D" w:rsidR="001D1FB4" w:rsidRPr="004F41B7" w:rsidRDefault="001D1FB4" w:rsidP="00D44D29">
      <w:pPr>
        <w:pStyle w:val="Heading2"/>
      </w:pPr>
      <w:bookmarkStart w:id="46" w:name="_Toc67559430"/>
      <w:bookmarkStart w:id="47" w:name="_Toc75789514"/>
      <w:bookmarkStart w:id="48" w:name="_Toc76390763"/>
      <w:bookmarkStart w:id="49" w:name="_Toc472327053"/>
      <w:bookmarkStart w:id="50" w:name="_Toc501699827"/>
      <w:bookmarkStart w:id="51" w:name="_Toc67559432"/>
      <w:bookmarkStart w:id="52" w:name="_Toc75789516"/>
      <w:bookmarkStart w:id="53" w:name="_Toc76390765"/>
      <w:bookmarkStart w:id="54" w:name="_Toc97107430"/>
      <w:bookmarkStart w:id="55" w:name="_Toc101521525"/>
      <w:bookmarkEnd w:id="46"/>
      <w:bookmarkEnd w:id="47"/>
      <w:bookmarkEnd w:id="48"/>
      <w:r w:rsidRPr="001D1FB4">
        <w:t>2.</w:t>
      </w:r>
      <w:r w:rsidR="00C87185" w:rsidRPr="004F41B7">
        <w:t>5</w:t>
      </w:r>
      <w:r w:rsidRPr="004F41B7">
        <w:tab/>
        <w:t>Food technology conclusion</w:t>
      </w:r>
      <w:bookmarkEnd w:id="49"/>
      <w:bookmarkEnd w:id="50"/>
      <w:bookmarkEnd w:id="51"/>
      <w:bookmarkEnd w:id="52"/>
      <w:bookmarkEnd w:id="53"/>
      <w:bookmarkEnd w:id="54"/>
      <w:bookmarkEnd w:id="55"/>
    </w:p>
    <w:p w14:paraId="15051C76" w14:textId="7C0505E0" w:rsidR="002440DB" w:rsidRDefault="005E3906" w:rsidP="001D1FB4">
      <w:r>
        <w:t>The proposed</w:t>
      </w:r>
      <w:r w:rsidR="00961833">
        <w:t xml:space="preserve"> use </w:t>
      </w:r>
      <w:r w:rsidR="000B7331">
        <w:t>of the enzyme is</w:t>
      </w:r>
      <w:r w:rsidR="00961833">
        <w:t xml:space="preserve"> </w:t>
      </w:r>
      <w:r w:rsidRPr="00F00B9A">
        <w:t xml:space="preserve">in the manufacture </w:t>
      </w:r>
      <w:r>
        <w:t xml:space="preserve">of </w:t>
      </w:r>
      <w:r w:rsidRPr="007C1E60">
        <w:rPr>
          <w:rFonts w:eastAsia="Calibri" w:cs="Arial"/>
          <w:szCs w:val="22"/>
          <w:lang w:bidi="ar-SA"/>
        </w:rPr>
        <w:t>fish</w:t>
      </w:r>
      <w:r w:rsidR="00813FB2">
        <w:rPr>
          <w:rFonts w:eastAsia="Calibri" w:cs="Arial"/>
          <w:szCs w:val="22"/>
          <w:lang w:bidi="ar-SA"/>
        </w:rPr>
        <w:t xml:space="preserve">, </w:t>
      </w:r>
      <w:r w:rsidRPr="007C1E60">
        <w:rPr>
          <w:rFonts w:eastAsia="Calibri" w:cs="Arial"/>
          <w:szCs w:val="22"/>
          <w:lang w:bidi="ar-SA"/>
        </w:rPr>
        <w:t>seafood, animal and vegetable products</w:t>
      </w:r>
      <w:r w:rsidRPr="00F00B9A">
        <w:t xml:space="preserve">. </w:t>
      </w:r>
      <w:r>
        <w:t>FSANZ concludes that t</w:t>
      </w:r>
      <w:r w:rsidRPr="00F00B9A">
        <w:t>he evidence presented to support the proposed use</w:t>
      </w:r>
      <w:r w:rsidRPr="00D41CB3">
        <w:t xml:space="preserve"> </w:t>
      </w:r>
      <w:r w:rsidRPr="00F00B9A">
        <w:t xml:space="preserve">provides adequate assurance that the enzyme, in the form and prescribed amounts, </w:t>
      </w:r>
      <w:r w:rsidR="002440DB" w:rsidRPr="002440DB">
        <w:t xml:space="preserve">which must be consistent with GMP controls and processes, </w:t>
      </w:r>
      <w:r w:rsidRPr="00F00B9A">
        <w:t xml:space="preserve">is technologically justified and has been demonstrated to be effective in achieving its stated purpose. </w:t>
      </w:r>
    </w:p>
    <w:p w14:paraId="3AC519E8" w14:textId="77777777" w:rsidR="002440DB" w:rsidRDefault="002440DB" w:rsidP="001D1FB4"/>
    <w:p w14:paraId="59E44E8F" w14:textId="11252A25" w:rsidR="002440DB" w:rsidRDefault="005E3906" w:rsidP="001D1FB4">
      <w:r w:rsidRPr="00F00B9A">
        <w:t>The enzyme performs its technological purpose during production and manufacture of foods after which it is inactivated</w:t>
      </w:r>
      <w:r w:rsidR="00813FB2">
        <w:t>,</w:t>
      </w:r>
      <w:r w:rsidRPr="00F00B9A">
        <w:t xml:space="preserve"> thereby not performing a technological function in the final food. It is therefore appropriately categorised as a processing aid </w:t>
      </w:r>
      <w:r w:rsidR="002440DB">
        <w:t>as defined in the Code</w:t>
      </w:r>
      <w:r w:rsidRPr="00F00B9A">
        <w:t xml:space="preserve">. </w:t>
      </w:r>
    </w:p>
    <w:p w14:paraId="21E75CDD" w14:textId="77777777" w:rsidR="002440DB" w:rsidRDefault="002440DB" w:rsidP="001D1FB4"/>
    <w:p w14:paraId="607DF371" w14:textId="77777777" w:rsidR="002440DB" w:rsidRPr="0023482A" w:rsidRDefault="002440DB" w:rsidP="002440DB">
      <w:pPr>
        <w:rPr>
          <w:lang w:bidi="ar-SA"/>
        </w:rPr>
      </w:pPr>
      <w:r>
        <w:rPr>
          <w:lang w:eastAsia="en-AU" w:bidi="ar-SA"/>
        </w:rPr>
        <w:t>There are relevant identity and purity specifications for the enzyme in the Code and the applicant provided evidence that the enzyme meets these specifications.</w:t>
      </w:r>
    </w:p>
    <w:p w14:paraId="4FCD1267" w14:textId="5923E664" w:rsidR="001D1FB4" w:rsidRPr="001D1FB4" w:rsidRDefault="001D1FB4" w:rsidP="001D1FB4">
      <w:pPr>
        <w:keepNext/>
        <w:spacing w:before="240" w:after="240"/>
        <w:ind w:left="851" w:hanging="851"/>
        <w:outlineLvl w:val="0"/>
        <w:rPr>
          <w:b/>
          <w:bCs/>
          <w:sz w:val="36"/>
          <w:szCs w:val="28"/>
          <w:lang w:val="en-AU" w:bidi="ar-SA"/>
        </w:rPr>
      </w:pPr>
      <w:bookmarkStart w:id="56" w:name="_Toc97107431"/>
      <w:bookmarkStart w:id="57" w:name="_Toc101521526"/>
      <w:r w:rsidRPr="001D1FB4">
        <w:rPr>
          <w:b/>
          <w:bCs/>
          <w:sz w:val="36"/>
          <w:szCs w:val="28"/>
          <w:lang w:val="en-AU" w:bidi="ar-SA"/>
        </w:rPr>
        <w:t>3</w:t>
      </w:r>
      <w:r w:rsidRPr="001D1FB4">
        <w:rPr>
          <w:b/>
          <w:bCs/>
          <w:sz w:val="36"/>
          <w:szCs w:val="28"/>
          <w:lang w:val="en-AU" w:bidi="ar-SA"/>
        </w:rPr>
        <w:tab/>
        <w:t>Safety assessment</w:t>
      </w:r>
      <w:bookmarkStart w:id="58" w:name="_Toc471740081"/>
      <w:bookmarkStart w:id="59" w:name="_Toc499282437"/>
      <w:bookmarkEnd w:id="56"/>
      <w:bookmarkEnd w:id="57"/>
    </w:p>
    <w:p w14:paraId="1F2CEEE5" w14:textId="77777777" w:rsidR="00795669" w:rsidRDefault="001D1FB4" w:rsidP="00795669">
      <w:r w:rsidRPr="001D1FB4">
        <w:rPr>
          <w:lang w:eastAsia="en-AU" w:bidi="ar-SA"/>
        </w:rPr>
        <w:t xml:space="preserve">The objectives of this safety assessment are to </w:t>
      </w:r>
      <w:r w:rsidRPr="001D1FB4">
        <w:t>evaluate any potential public health and safety concerns that may arise from the use of this enzyme</w:t>
      </w:r>
      <w:r w:rsidRPr="001D1FB4">
        <w:rPr>
          <w:lang w:eastAsia="en-AU"/>
        </w:rPr>
        <w:t xml:space="preserve">, produced by this microorganism, </w:t>
      </w:r>
      <w:r w:rsidRPr="001D1FB4">
        <w:t xml:space="preserve">as a processing aid. </w:t>
      </w:r>
    </w:p>
    <w:p w14:paraId="711B81CB" w14:textId="77777777" w:rsidR="00795669" w:rsidRDefault="00795669" w:rsidP="00795669"/>
    <w:p w14:paraId="64B1FDEA" w14:textId="102B8860" w:rsidR="00795669" w:rsidRPr="0032484B" w:rsidRDefault="00795669" w:rsidP="00795669">
      <w:pPr>
        <w:rPr>
          <w:lang w:val="en-AU"/>
        </w:rPr>
      </w:pPr>
      <w:r w:rsidRPr="0032484B">
        <w:rPr>
          <w:lang w:val="en-AU" w:bidi="ar-SA"/>
        </w:rPr>
        <w:t>Some information relevant to this section is Confidential Commercial Information (CCI), so full details cannot be provided in this public report.</w:t>
      </w:r>
    </w:p>
    <w:p w14:paraId="61A63176" w14:textId="77777777" w:rsidR="009D49D7" w:rsidRPr="00A13537" w:rsidRDefault="009D49D7" w:rsidP="009D49D7">
      <w:pPr>
        <w:pStyle w:val="Heading2"/>
      </w:pPr>
      <w:bookmarkStart w:id="60" w:name="_Toc471740085"/>
      <w:bookmarkStart w:id="61" w:name="_Toc499282440"/>
      <w:bookmarkStart w:id="62" w:name="_Toc505255639"/>
      <w:bookmarkStart w:id="63" w:name="_Toc536543996"/>
      <w:bookmarkStart w:id="64" w:name="_Toc536607131"/>
      <w:bookmarkStart w:id="65" w:name="_Toc30154604"/>
      <w:bookmarkStart w:id="66" w:name="_Toc85204767"/>
      <w:bookmarkStart w:id="67" w:name="_Toc85211329"/>
      <w:bookmarkStart w:id="68" w:name="_Toc94535618"/>
      <w:bookmarkStart w:id="69" w:name="_Toc97107432"/>
      <w:bookmarkStart w:id="70" w:name="_Toc101521527"/>
      <w:r w:rsidRPr="00A13537">
        <w:t>3.</w:t>
      </w:r>
      <w:bookmarkEnd w:id="60"/>
      <w:r w:rsidRPr="00A13537">
        <w:t>1</w:t>
      </w:r>
      <w:r w:rsidRPr="00A13537">
        <w:tab/>
        <w:t>History of use</w:t>
      </w:r>
      <w:bookmarkEnd w:id="61"/>
      <w:bookmarkEnd w:id="62"/>
      <w:bookmarkEnd w:id="63"/>
      <w:bookmarkEnd w:id="64"/>
      <w:bookmarkEnd w:id="65"/>
      <w:bookmarkEnd w:id="66"/>
      <w:bookmarkEnd w:id="67"/>
      <w:bookmarkEnd w:id="68"/>
      <w:bookmarkEnd w:id="69"/>
      <w:bookmarkEnd w:id="70"/>
    </w:p>
    <w:p w14:paraId="1E09C5AD" w14:textId="7CF68F97" w:rsidR="009D49D7" w:rsidRDefault="009D49D7" w:rsidP="009D49D7">
      <w:pPr>
        <w:pStyle w:val="Heading3"/>
      </w:pPr>
      <w:bookmarkStart w:id="71" w:name="_Toc498940968"/>
      <w:bookmarkStart w:id="72" w:name="_Toc499282441"/>
      <w:bookmarkStart w:id="73" w:name="_Toc536543997"/>
      <w:bookmarkStart w:id="74" w:name="_Toc536607132"/>
      <w:bookmarkStart w:id="75" w:name="_Toc30154605"/>
      <w:bookmarkStart w:id="76" w:name="_Toc85204768"/>
      <w:bookmarkStart w:id="77" w:name="_Toc85211330"/>
      <w:bookmarkStart w:id="78" w:name="_Toc94535619"/>
      <w:bookmarkStart w:id="79" w:name="_Toc97107433"/>
      <w:bookmarkStart w:id="80" w:name="_Toc101521528"/>
      <w:bookmarkEnd w:id="58"/>
      <w:bookmarkEnd w:id="59"/>
      <w:r w:rsidRPr="0032484B">
        <w:t>3.1.1</w:t>
      </w:r>
      <w:r w:rsidRPr="0032484B">
        <w:tab/>
        <w:t>Host organism</w:t>
      </w:r>
      <w:bookmarkEnd w:id="71"/>
      <w:bookmarkEnd w:id="72"/>
      <w:bookmarkEnd w:id="73"/>
      <w:bookmarkEnd w:id="74"/>
      <w:bookmarkEnd w:id="75"/>
      <w:bookmarkEnd w:id="76"/>
      <w:bookmarkEnd w:id="77"/>
      <w:bookmarkEnd w:id="78"/>
      <w:bookmarkEnd w:id="79"/>
      <w:bookmarkEnd w:id="80"/>
    </w:p>
    <w:p w14:paraId="19EF80E1" w14:textId="21DBF2F0" w:rsidR="00FB0644" w:rsidRPr="00FB0644" w:rsidRDefault="002839C4" w:rsidP="00FB0644">
      <w:pPr>
        <w:rPr>
          <w:lang w:val="en-AU" w:eastAsia="en-AU" w:bidi="ar-SA"/>
        </w:rPr>
      </w:pPr>
      <w:r>
        <w:t xml:space="preserve">FSANZ has previously assessed the safety of </w:t>
      </w:r>
      <w:r w:rsidRPr="002839C4">
        <w:rPr>
          <w:i/>
        </w:rPr>
        <w:t>T</w:t>
      </w:r>
      <w:r>
        <w:t xml:space="preserve">. </w:t>
      </w:r>
      <w:r w:rsidRPr="002839C4">
        <w:rPr>
          <w:i/>
        </w:rPr>
        <w:t>reesei</w:t>
      </w:r>
      <w:r>
        <w:t xml:space="preserve"> as the host organism for a number of enzymes used as processing aids. Schedule 18 to Standard 1.3.3 of the Code permits the use of the f</w:t>
      </w:r>
      <w:r w:rsidR="004D5F27">
        <w:t>ollowing enzymes derived from genetically modified</w:t>
      </w:r>
      <w:r>
        <w:t xml:space="preserve"> </w:t>
      </w:r>
      <w:r w:rsidRPr="004D5F27">
        <w:rPr>
          <w:i/>
        </w:rPr>
        <w:t>T</w:t>
      </w:r>
      <w:r>
        <w:t xml:space="preserve">. </w:t>
      </w:r>
      <w:r w:rsidRPr="004D5F27">
        <w:rPr>
          <w:i/>
        </w:rPr>
        <w:t>reesei</w:t>
      </w:r>
      <w:r>
        <w:t xml:space="preserve"> strains including: </w:t>
      </w:r>
      <w:r w:rsidRPr="00475947">
        <w:t>Endo-1,4-ß-</w:t>
      </w:r>
      <w:r w:rsidRPr="00475947">
        <w:rPr>
          <w:szCs w:val="22"/>
        </w:rPr>
        <w:t xml:space="preserve">xylanase, </w:t>
      </w:r>
      <w:r w:rsidRPr="00475947">
        <w:rPr>
          <w:rFonts w:cs="Arial"/>
          <w:color w:val="000000"/>
          <w:szCs w:val="22"/>
          <w:shd w:val="clear" w:color="auto" w:fill="FFFFFF"/>
        </w:rPr>
        <w:t>Lysophospholipase, Aspergillopepsin I, α-Glucosidase, Glucose</w:t>
      </w:r>
      <w:r>
        <w:rPr>
          <w:rFonts w:cs="Arial"/>
          <w:color w:val="000000"/>
          <w:szCs w:val="22"/>
          <w:shd w:val="clear" w:color="auto" w:fill="FFFFFF"/>
        </w:rPr>
        <w:t xml:space="preserve"> </w:t>
      </w:r>
      <w:r w:rsidRPr="00475947">
        <w:rPr>
          <w:rFonts w:cs="Arial"/>
          <w:color w:val="000000"/>
          <w:szCs w:val="22"/>
          <w:shd w:val="clear" w:color="auto" w:fill="FFFFFF"/>
        </w:rPr>
        <w:t>oxidase, Glucoamylase</w:t>
      </w:r>
      <w:r>
        <w:rPr>
          <w:rFonts w:cs="Arial"/>
          <w:color w:val="000000"/>
          <w:shd w:val="clear" w:color="auto" w:fill="FFFFFF"/>
        </w:rPr>
        <w:t xml:space="preserve"> and</w:t>
      </w:r>
      <w:r w:rsidRPr="00475947">
        <w:rPr>
          <w:rFonts w:cs="Arial"/>
          <w:color w:val="000000"/>
          <w:szCs w:val="22"/>
          <w:shd w:val="clear" w:color="auto" w:fill="FFFFFF"/>
        </w:rPr>
        <w:t> α-Amylase</w:t>
      </w:r>
      <w:r>
        <w:t>. The taxonomy was confirmed by a recognised culture collection.</w:t>
      </w:r>
    </w:p>
    <w:p w14:paraId="77F13DC2" w14:textId="289CD1C6" w:rsidR="009D49D7" w:rsidRDefault="009D49D7" w:rsidP="009D49D7">
      <w:pPr>
        <w:pStyle w:val="Heading3"/>
      </w:pPr>
      <w:bookmarkStart w:id="81" w:name="_Toc30154606"/>
      <w:bookmarkStart w:id="82" w:name="_Toc85204769"/>
      <w:bookmarkStart w:id="83" w:name="_Toc85211331"/>
      <w:bookmarkStart w:id="84" w:name="_Toc94535620"/>
      <w:bookmarkStart w:id="85" w:name="_Toc97107434"/>
      <w:bookmarkStart w:id="86" w:name="_Toc101521529"/>
      <w:r w:rsidRPr="0032484B">
        <w:lastRenderedPageBreak/>
        <w:t>3.1.2</w:t>
      </w:r>
      <w:r w:rsidRPr="0032484B">
        <w:tab/>
        <w:t>Gene donor organisms</w:t>
      </w:r>
      <w:bookmarkEnd w:id="81"/>
      <w:bookmarkEnd w:id="82"/>
      <w:bookmarkEnd w:id="83"/>
      <w:bookmarkEnd w:id="84"/>
      <w:bookmarkEnd w:id="85"/>
      <w:bookmarkEnd w:id="86"/>
    </w:p>
    <w:p w14:paraId="5DD8FF34" w14:textId="1D6C771E" w:rsidR="00FB0644" w:rsidRPr="00FB0644" w:rsidRDefault="002839C4" w:rsidP="00FB0644">
      <w:pPr>
        <w:rPr>
          <w:lang w:val="en-AU" w:eastAsia="en-AU" w:bidi="ar-SA"/>
        </w:rPr>
      </w:pPr>
      <w:r>
        <w:t xml:space="preserve">The gene sequence for the </w:t>
      </w:r>
      <w:r w:rsidRPr="006577E0">
        <w:rPr>
          <w:rFonts w:eastAsia="Calibri" w:cs="Arial"/>
          <w:szCs w:val="22"/>
          <w:lang w:bidi="ar-SA"/>
        </w:rPr>
        <w:t>thermomycolin</w:t>
      </w:r>
      <w:r w:rsidRPr="00DE2523">
        <w:rPr>
          <w:lang w:val="en-AU"/>
        </w:rPr>
        <w:t xml:space="preserve"> </w:t>
      </w:r>
      <w:r>
        <w:t xml:space="preserve">enzyme was sourced from </w:t>
      </w:r>
      <w:r w:rsidRPr="00DE2523">
        <w:rPr>
          <w:i/>
          <w:lang w:val="en-AU"/>
        </w:rPr>
        <w:t>M. cinnamomea</w:t>
      </w:r>
      <w:r>
        <w:t xml:space="preserve">. This organism is a filamentous fungus found in soil and rotting plant material. Synonyms include </w:t>
      </w:r>
      <w:r w:rsidRPr="00D420EC">
        <w:rPr>
          <w:i/>
        </w:rPr>
        <w:t>M</w:t>
      </w:r>
      <w:r>
        <w:t xml:space="preserve">. </w:t>
      </w:r>
      <w:r w:rsidRPr="00D420EC">
        <w:rPr>
          <w:i/>
        </w:rPr>
        <w:t>pulchella</w:t>
      </w:r>
      <w:r>
        <w:t xml:space="preserve"> var. </w:t>
      </w:r>
      <w:r w:rsidRPr="00D420EC">
        <w:rPr>
          <w:i/>
        </w:rPr>
        <w:t>sulfurea</w:t>
      </w:r>
      <w:r>
        <w:t xml:space="preserve"> and </w:t>
      </w:r>
      <w:r w:rsidRPr="00D420EC">
        <w:rPr>
          <w:i/>
        </w:rPr>
        <w:t>M</w:t>
      </w:r>
      <w:r>
        <w:t xml:space="preserve">. </w:t>
      </w:r>
      <w:r w:rsidRPr="00D420EC">
        <w:rPr>
          <w:i/>
        </w:rPr>
        <w:t>sulfurea</w:t>
      </w:r>
      <w:r>
        <w:t>. Identification of the organism was determined using</w:t>
      </w:r>
      <w:r w:rsidR="00A67BDC">
        <w:t xml:space="preserve"> standard morphological and molecular methods.</w:t>
      </w:r>
    </w:p>
    <w:p w14:paraId="7CDB395A" w14:textId="77777777" w:rsidR="009D49D7" w:rsidRPr="00A13537" w:rsidRDefault="009D49D7" w:rsidP="009D49D7">
      <w:pPr>
        <w:pStyle w:val="Heading2"/>
      </w:pPr>
      <w:bookmarkStart w:id="87" w:name="_Toc499282443"/>
      <w:bookmarkStart w:id="88" w:name="_Toc505255640"/>
      <w:bookmarkStart w:id="89" w:name="_Toc536543999"/>
      <w:bookmarkStart w:id="90" w:name="_Toc536607134"/>
      <w:bookmarkStart w:id="91" w:name="_Toc30154607"/>
      <w:bookmarkStart w:id="92" w:name="_Toc85204770"/>
      <w:bookmarkStart w:id="93" w:name="_Toc85211332"/>
      <w:bookmarkStart w:id="94" w:name="_Toc94535621"/>
      <w:bookmarkStart w:id="95" w:name="_Toc97107435"/>
      <w:bookmarkStart w:id="96" w:name="_Toc101521530"/>
      <w:r w:rsidRPr="00A13537">
        <w:t>3.2</w:t>
      </w:r>
      <w:r w:rsidRPr="00A13537">
        <w:tab/>
        <w:t>Characterisation of the genetic modification(s)</w:t>
      </w:r>
      <w:bookmarkEnd w:id="87"/>
      <w:bookmarkEnd w:id="88"/>
      <w:bookmarkEnd w:id="89"/>
      <w:bookmarkEnd w:id="90"/>
      <w:bookmarkEnd w:id="91"/>
      <w:bookmarkEnd w:id="92"/>
      <w:bookmarkEnd w:id="93"/>
      <w:bookmarkEnd w:id="94"/>
      <w:bookmarkEnd w:id="95"/>
      <w:bookmarkEnd w:id="96"/>
    </w:p>
    <w:p w14:paraId="013437E5" w14:textId="77777777" w:rsidR="009D49D7" w:rsidRPr="00DE2523" w:rsidRDefault="009D49D7" w:rsidP="009D49D7">
      <w:pPr>
        <w:pStyle w:val="Heading3"/>
      </w:pPr>
      <w:bookmarkStart w:id="97" w:name="_Toc85204771"/>
      <w:bookmarkStart w:id="98" w:name="_Toc85211333"/>
      <w:bookmarkStart w:id="99" w:name="_Toc94535622"/>
      <w:bookmarkStart w:id="100" w:name="_Toc97107436"/>
      <w:bookmarkStart w:id="101" w:name="_Toc101521531"/>
      <w:r w:rsidRPr="00DE2523">
        <w:t>3.2.1</w:t>
      </w:r>
      <w:r w:rsidRPr="00DE2523">
        <w:tab/>
        <w:t>Description of the DNA to be introduced and method of transformation</w:t>
      </w:r>
      <w:bookmarkEnd w:id="97"/>
      <w:bookmarkEnd w:id="98"/>
      <w:bookmarkEnd w:id="99"/>
      <w:bookmarkEnd w:id="100"/>
      <w:bookmarkEnd w:id="101"/>
    </w:p>
    <w:p w14:paraId="4B510BF4" w14:textId="543C6596" w:rsidR="009D49D7" w:rsidRPr="00DE2523" w:rsidRDefault="009D49D7" w:rsidP="009D49D7">
      <w:pPr>
        <w:rPr>
          <w:lang w:val="en-AU"/>
        </w:rPr>
      </w:pPr>
      <w:r w:rsidRPr="00DE2523">
        <w:rPr>
          <w:lang w:val="en-AU"/>
        </w:rPr>
        <w:t xml:space="preserve">The </w:t>
      </w:r>
      <w:r w:rsidR="004030D0" w:rsidRPr="006577E0">
        <w:rPr>
          <w:rFonts w:eastAsia="Calibri" w:cs="Arial"/>
          <w:szCs w:val="22"/>
          <w:lang w:bidi="ar-SA"/>
        </w:rPr>
        <w:t>thermomycolin</w:t>
      </w:r>
      <w:r w:rsidRPr="00DE2523">
        <w:rPr>
          <w:lang w:val="en-AU"/>
        </w:rPr>
        <w:t xml:space="preserve"> gene from </w:t>
      </w:r>
      <w:r w:rsidRPr="00DE2523">
        <w:rPr>
          <w:i/>
          <w:lang w:val="en-AU"/>
        </w:rPr>
        <w:t xml:space="preserve">M. cinnamomea </w:t>
      </w:r>
      <w:r w:rsidRPr="00DE2523">
        <w:rPr>
          <w:lang w:val="en-AU"/>
        </w:rPr>
        <w:t xml:space="preserve">was used to construct an expression cassette </w:t>
      </w:r>
      <w:r w:rsidRPr="00DE2523">
        <w:t>in the pUC19 plasmid vector using standard molecular biology techniques.</w:t>
      </w:r>
      <w:r w:rsidRPr="00DE2523">
        <w:rPr>
          <w:lang w:val="en-AU"/>
        </w:rPr>
        <w:t xml:space="preserve"> T</w:t>
      </w:r>
      <w:r w:rsidRPr="00DE2523">
        <w:t xml:space="preserve">he </w:t>
      </w:r>
      <w:r>
        <w:t xml:space="preserve">constructed </w:t>
      </w:r>
      <w:r w:rsidRPr="00DE2523">
        <w:t xml:space="preserve">expression cassette contained the </w:t>
      </w:r>
      <w:r w:rsidR="004030D0" w:rsidRPr="006577E0">
        <w:rPr>
          <w:rFonts w:eastAsia="Calibri" w:cs="Arial"/>
          <w:szCs w:val="22"/>
          <w:lang w:bidi="ar-SA"/>
        </w:rPr>
        <w:t>thermomycolin</w:t>
      </w:r>
      <w:r>
        <w:rPr>
          <w:lang w:val="en-AU"/>
        </w:rPr>
        <w:t>,</w:t>
      </w:r>
      <w:r w:rsidRPr="00DE2523">
        <w:t xml:space="preserve"> under the control of a </w:t>
      </w:r>
      <w:r w:rsidRPr="00DE2523">
        <w:rPr>
          <w:i/>
        </w:rPr>
        <w:t>T.</w:t>
      </w:r>
      <w:r>
        <w:rPr>
          <w:i/>
        </w:rPr>
        <w:t> </w:t>
      </w:r>
      <w:r w:rsidRPr="00DE2523">
        <w:rPr>
          <w:i/>
        </w:rPr>
        <w:t>reesei</w:t>
      </w:r>
      <w:r w:rsidRPr="00DE2523">
        <w:t xml:space="preserve"> promoter and terminator, and the </w:t>
      </w:r>
      <w:r w:rsidRPr="00DE2523">
        <w:rPr>
          <w:i/>
        </w:rPr>
        <w:t>Aspergillus nidulans amdS</w:t>
      </w:r>
      <w:r w:rsidRPr="00DE2523">
        <w:t xml:space="preserve"> selectable marker gene under the control of the </w:t>
      </w:r>
      <w:r w:rsidRPr="00DE2523">
        <w:rPr>
          <w:i/>
        </w:rPr>
        <w:t>A. nidulans amdS</w:t>
      </w:r>
      <w:r w:rsidRPr="00DE2523">
        <w:t xml:space="preserve"> promoter and terminator. The </w:t>
      </w:r>
      <w:r w:rsidRPr="00DE2523">
        <w:rPr>
          <w:i/>
        </w:rPr>
        <w:t>amdS</w:t>
      </w:r>
      <w:r w:rsidRPr="00DE2523">
        <w:t xml:space="preserve"> </w:t>
      </w:r>
      <w:r>
        <w:t>marker</w:t>
      </w:r>
      <w:r w:rsidRPr="00DE2523">
        <w:t xml:space="preserve"> allowed for selection of positive transformants by growth on media containing acetamide (Kelly and Hynes 1985).</w:t>
      </w:r>
    </w:p>
    <w:p w14:paraId="7F447F95" w14:textId="77777777" w:rsidR="009D49D7" w:rsidRPr="00DE2523" w:rsidRDefault="009D49D7" w:rsidP="009D49D7">
      <w:pPr>
        <w:rPr>
          <w:lang w:val="en-AU"/>
        </w:rPr>
      </w:pPr>
    </w:p>
    <w:p w14:paraId="01DF6AAC" w14:textId="0917276C" w:rsidR="009D49D7" w:rsidRPr="00DE2523" w:rsidRDefault="009D49D7" w:rsidP="009D49D7">
      <w:pPr>
        <w:rPr>
          <w:lang w:val="en-AU"/>
        </w:rPr>
      </w:pPr>
      <w:r w:rsidRPr="00DE2523">
        <w:t xml:space="preserve">The </w:t>
      </w:r>
      <w:r w:rsidRPr="00DE2523">
        <w:rPr>
          <w:lang w:val="en-AU"/>
        </w:rPr>
        <w:t xml:space="preserve">expression cassette was </w:t>
      </w:r>
      <w:r>
        <w:rPr>
          <w:lang w:val="en-AU"/>
        </w:rPr>
        <w:t>removed</w:t>
      </w:r>
      <w:r w:rsidRPr="00DE2523">
        <w:rPr>
          <w:lang w:val="en-AU"/>
        </w:rPr>
        <w:t xml:space="preserve"> from the construction plasmid using restriction enzyme digestion and agarose gel electrophoresis</w:t>
      </w:r>
      <w:r>
        <w:rPr>
          <w:lang w:val="en-AU"/>
        </w:rPr>
        <w:t xml:space="preserve">, prior to transformation into the </w:t>
      </w:r>
      <w:r>
        <w:rPr>
          <w:i/>
          <w:lang w:val="en-AU"/>
        </w:rPr>
        <w:t xml:space="preserve">T. reesei </w:t>
      </w:r>
      <w:r>
        <w:rPr>
          <w:lang w:val="en-AU"/>
        </w:rPr>
        <w:t>host strain</w:t>
      </w:r>
      <w:r w:rsidRPr="00DE2523">
        <w:t xml:space="preserve"> using PEG-mediated protoplast fusion as described by Penttilä et al. (1987) with the modifications described in Karhunen et al. (1993).</w:t>
      </w:r>
    </w:p>
    <w:p w14:paraId="730BFF8E" w14:textId="77777777" w:rsidR="009D49D7" w:rsidRPr="00DE2523" w:rsidRDefault="009D49D7" w:rsidP="009D49D7">
      <w:pPr>
        <w:pStyle w:val="Heading3"/>
      </w:pPr>
      <w:bookmarkStart w:id="102" w:name="_Toc85204772"/>
      <w:bookmarkStart w:id="103" w:name="_Toc85211334"/>
      <w:bookmarkStart w:id="104" w:name="_Toc94535623"/>
      <w:bookmarkStart w:id="105" w:name="_Toc97107437"/>
      <w:bookmarkStart w:id="106" w:name="_Toc101521532"/>
      <w:r w:rsidRPr="00DE2523">
        <w:t>3.2.2</w:t>
      </w:r>
      <w:r w:rsidRPr="00DE2523">
        <w:tab/>
        <w:t>Characterisation of inserted DNA</w:t>
      </w:r>
      <w:bookmarkEnd w:id="102"/>
      <w:bookmarkEnd w:id="103"/>
      <w:bookmarkEnd w:id="104"/>
      <w:bookmarkEnd w:id="105"/>
      <w:bookmarkEnd w:id="106"/>
    </w:p>
    <w:p w14:paraId="2E57D7D6" w14:textId="6CBFF8BB" w:rsidR="009D49D7" w:rsidRPr="00DE2523" w:rsidRDefault="009D49D7" w:rsidP="009D49D7">
      <w:pPr>
        <w:rPr>
          <w:lang w:val="en-AU"/>
        </w:rPr>
      </w:pPr>
      <w:r w:rsidRPr="00DE2523">
        <w:rPr>
          <w:lang w:val="en-AU"/>
        </w:rPr>
        <w:t xml:space="preserve">Southern blot analysis using a probe targeting the </w:t>
      </w:r>
      <w:r w:rsidRPr="00DE2523">
        <w:rPr>
          <w:i/>
          <w:lang w:val="en-AU"/>
        </w:rPr>
        <w:t xml:space="preserve">M  cinnamomea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rPr>
        <w:t xml:space="preserve">gene sequence was performed on the genome of the </w:t>
      </w:r>
      <w:r w:rsidRPr="00DE2523">
        <w:rPr>
          <w:i/>
          <w:lang w:val="en-AU"/>
        </w:rPr>
        <w:t>T. reesei</w:t>
      </w:r>
      <w:r w:rsidRPr="00DE2523">
        <w:rPr>
          <w:lang w:val="en-AU"/>
        </w:rPr>
        <w:t xml:space="preserve"> production strain. Results indicated that several copies of the expression cassettes were integrated in the genome of </w:t>
      </w:r>
      <w:r w:rsidRPr="00DE2523">
        <w:rPr>
          <w:i/>
          <w:lang w:val="en-AU"/>
        </w:rPr>
        <w:t>T. reesei</w:t>
      </w:r>
      <w:r w:rsidRPr="00DE2523">
        <w:rPr>
          <w:lang w:val="en-AU"/>
        </w:rPr>
        <w:t xml:space="preserve"> RF8963 </w:t>
      </w:r>
    </w:p>
    <w:p w14:paraId="7AFFF0D9" w14:textId="77777777" w:rsidR="009D49D7" w:rsidRPr="00DE2523" w:rsidRDefault="009D49D7" w:rsidP="009D49D7">
      <w:pPr>
        <w:pStyle w:val="Heading3"/>
      </w:pPr>
      <w:bookmarkStart w:id="107" w:name="_Toc85204773"/>
      <w:bookmarkStart w:id="108" w:name="_Toc85211335"/>
      <w:bookmarkStart w:id="109" w:name="_Toc94535624"/>
      <w:bookmarkStart w:id="110" w:name="_Toc97107438"/>
      <w:bookmarkStart w:id="111" w:name="_Toc101521533"/>
      <w:r w:rsidRPr="00DE2523">
        <w:t>3.2.3</w:t>
      </w:r>
      <w:r w:rsidRPr="00DE2523">
        <w:tab/>
        <w:t>Genetic stability of the inserted gene</w:t>
      </w:r>
      <w:bookmarkEnd w:id="107"/>
      <w:bookmarkEnd w:id="108"/>
      <w:bookmarkEnd w:id="109"/>
      <w:bookmarkEnd w:id="110"/>
      <w:bookmarkEnd w:id="111"/>
    </w:p>
    <w:p w14:paraId="47C7B94E" w14:textId="303BCCAA" w:rsidR="009D49D7" w:rsidRPr="00DE2523" w:rsidRDefault="009D49D7" w:rsidP="009D49D7">
      <w:pPr>
        <w:rPr>
          <w:lang w:val="en-AU"/>
        </w:rPr>
      </w:pPr>
      <w:r w:rsidRPr="00DE2523">
        <w:rPr>
          <w:lang w:val="en-AU"/>
        </w:rPr>
        <w:t xml:space="preserve">The stability of the introduced DNA in the production strain was demonstrated by Southern blot analysis of genomic DNA samples extracted after three separate fermentation processes. These data indicated that the introduced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rPr>
        <w:t xml:space="preserve">gene is genetically stable in the </w:t>
      </w:r>
      <w:r w:rsidRPr="00DE2523">
        <w:rPr>
          <w:i/>
          <w:lang w:val="en-AU"/>
        </w:rPr>
        <w:t>T. reesei</w:t>
      </w:r>
      <w:r w:rsidRPr="00DE2523">
        <w:rPr>
          <w:lang w:val="en-AU"/>
        </w:rPr>
        <w:t xml:space="preserve"> RF8963 genome and is suitable for industrial fermentation.</w:t>
      </w:r>
    </w:p>
    <w:p w14:paraId="541CC492" w14:textId="475FF983" w:rsidR="009D49D7" w:rsidRPr="00DE2523" w:rsidRDefault="009D49D7" w:rsidP="009D49D7">
      <w:pPr>
        <w:pStyle w:val="Heading2"/>
        <w:rPr>
          <w:lang w:val="en-AU"/>
        </w:rPr>
      </w:pPr>
      <w:bookmarkStart w:id="112" w:name="_Toc30154611"/>
      <w:bookmarkStart w:id="113" w:name="_Toc85204774"/>
      <w:bookmarkStart w:id="114" w:name="_Toc85211336"/>
      <w:bookmarkStart w:id="115" w:name="_Toc94535625"/>
      <w:bookmarkStart w:id="116" w:name="_Toc97107439"/>
      <w:bookmarkStart w:id="117" w:name="_Toc101521534"/>
      <w:r w:rsidRPr="00DE2523">
        <w:rPr>
          <w:lang w:val="en-AU"/>
        </w:rPr>
        <w:t>3.3</w:t>
      </w:r>
      <w:r w:rsidRPr="00D44D29">
        <w:tab/>
        <w:t xml:space="preserve">Safety of </w:t>
      </w:r>
      <w:bookmarkEnd w:id="112"/>
      <w:bookmarkEnd w:id="113"/>
      <w:bookmarkEnd w:id="114"/>
      <w:bookmarkEnd w:id="115"/>
      <w:r w:rsidR="00A25C29" w:rsidRPr="006577E0">
        <w:rPr>
          <w:rFonts w:eastAsia="Calibri"/>
        </w:rPr>
        <w:t>thermomycolin</w:t>
      </w:r>
      <w:bookmarkEnd w:id="116"/>
      <w:bookmarkEnd w:id="117"/>
    </w:p>
    <w:p w14:paraId="6EADE9B5" w14:textId="77777777" w:rsidR="009D49D7" w:rsidRPr="00DE2523" w:rsidRDefault="009D49D7" w:rsidP="009D49D7">
      <w:pPr>
        <w:pStyle w:val="Heading3"/>
      </w:pPr>
      <w:bookmarkStart w:id="118" w:name="_Toc536544004"/>
      <w:bookmarkStart w:id="119" w:name="_Toc536607139"/>
      <w:bookmarkStart w:id="120" w:name="_Toc30154612"/>
      <w:bookmarkStart w:id="121" w:name="_Toc85204775"/>
      <w:bookmarkStart w:id="122" w:name="_Toc85211337"/>
      <w:bookmarkStart w:id="123" w:name="_Toc94535626"/>
      <w:bookmarkStart w:id="124" w:name="_Toc97107440"/>
      <w:bookmarkStart w:id="125" w:name="_Toc101521535"/>
      <w:r w:rsidRPr="00DE2523">
        <w:t>3.3.1</w:t>
      </w:r>
      <w:r w:rsidRPr="00DE2523">
        <w:tab/>
        <w:t>History of safe use</w:t>
      </w:r>
      <w:bookmarkEnd w:id="118"/>
      <w:bookmarkEnd w:id="119"/>
      <w:bookmarkEnd w:id="120"/>
      <w:bookmarkEnd w:id="121"/>
      <w:bookmarkEnd w:id="122"/>
      <w:bookmarkEnd w:id="123"/>
      <w:bookmarkEnd w:id="124"/>
      <w:bookmarkEnd w:id="125"/>
    </w:p>
    <w:p w14:paraId="20EBA856" w14:textId="06C7EA76" w:rsidR="009D49D7" w:rsidRPr="00DE2523" w:rsidRDefault="00A25C29" w:rsidP="009D49D7">
      <w:pPr>
        <w:rPr>
          <w:lang w:val="en-AU" w:eastAsia="en-AU" w:bidi="ar-SA"/>
        </w:rPr>
      </w:pPr>
      <w:r>
        <w:rPr>
          <w:lang w:val="en-AU" w:eastAsia="en-AU" w:bidi="ar-SA"/>
        </w:rPr>
        <w:t>T</w:t>
      </w:r>
      <w:r w:rsidRPr="006577E0">
        <w:rPr>
          <w:rFonts w:eastAsia="Calibri" w:cs="Arial"/>
          <w:szCs w:val="22"/>
          <w:lang w:bidi="ar-SA"/>
        </w:rPr>
        <w:t>hermomycolin</w:t>
      </w:r>
      <w:r>
        <w:rPr>
          <w:rFonts w:eastAsia="Calibri" w:cs="Arial"/>
          <w:szCs w:val="22"/>
          <w:lang w:bidi="ar-SA"/>
        </w:rPr>
        <w:t xml:space="preserve"> from</w:t>
      </w:r>
      <w:r w:rsidRPr="00DE2523">
        <w:rPr>
          <w:lang w:val="en-AU" w:eastAsia="en-AU" w:bidi="ar-SA"/>
        </w:rPr>
        <w:t xml:space="preserve"> </w:t>
      </w:r>
      <w:r w:rsidRPr="00DE2523">
        <w:rPr>
          <w:i/>
          <w:lang w:val="en-AU" w:eastAsia="en-AU" w:bidi="ar-SA"/>
        </w:rPr>
        <w:t xml:space="preserve">M. </w:t>
      </w:r>
      <w:r w:rsidRPr="00DE2523">
        <w:rPr>
          <w:i/>
          <w:lang w:val="en-AU"/>
        </w:rPr>
        <w:t xml:space="preserve">cinnamomea </w:t>
      </w:r>
      <w:r w:rsidRPr="00DE2523">
        <w:rPr>
          <w:lang w:val="en-AU" w:eastAsia="en-AU" w:bidi="ar-SA"/>
        </w:rPr>
        <w:t xml:space="preserve">produced in </w:t>
      </w:r>
      <w:r>
        <w:rPr>
          <w:i/>
          <w:lang w:val="en-AU" w:eastAsia="en-AU" w:bidi="ar-SA"/>
        </w:rPr>
        <w:t>T. rees</w:t>
      </w:r>
      <w:r w:rsidRPr="00DE2523">
        <w:rPr>
          <w:i/>
          <w:lang w:val="en-AU" w:eastAsia="en-AU" w:bidi="ar-SA"/>
        </w:rPr>
        <w:t>ei</w:t>
      </w:r>
      <w:r>
        <w:rPr>
          <w:lang w:val="en-AU" w:eastAsia="en-AU" w:bidi="ar-SA"/>
        </w:rPr>
        <w:t xml:space="preserve"> </w:t>
      </w:r>
      <w:r w:rsidRPr="00DE2523">
        <w:rPr>
          <w:lang w:val="en-AU" w:eastAsia="en-AU" w:bidi="ar-SA"/>
        </w:rPr>
        <w:t xml:space="preserve">is not an approved enzyme processing aid in the Code and does not have a history </w:t>
      </w:r>
      <w:r w:rsidRPr="00DE2523">
        <w:rPr>
          <w:lang w:val="en-AU" w:eastAsia="en-AU" w:bidi="ar-SA"/>
        </w:rPr>
        <w:lastRenderedPageBreak/>
        <w:t>of safe use in Australia or New Zealand</w:t>
      </w:r>
      <w:r>
        <w:rPr>
          <w:lang w:val="en-AU" w:eastAsia="en-AU" w:bidi="ar-SA"/>
        </w:rPr>
        <w:t>. Other s</w:t>
      </w:r>
      <w:r w:rsidR="009D49D7" w:rsidRPr="00DE2523">
        <w:rPr>
          <w:lang w:val="en-AU" w:eastAsia="en-AU" w:bidi="ar-SA"/>
        </w:rPr>
        <w:t xml:space="preserve">erine </w:t>
      </w:r>
      <w:r>
        <w:rPr>
          <w:lang w:val="en-AU" w:eastAsia="en-AU" w:bidi="ar-SA"/>
        </w:rPr>
        <w:t>proteinase</w:t>
      </w:r>
      <w:r w:rsidR="000B7331">
        <w:rPr>
          <w:lang w:val="en-AU" w:eastAsia="en-AU" w:bidi="ar-SA"/>
        </w:rPr>
        <w:t>s</w:t>
      </w:r>
      <w:r w:rsidR="009D49D7" w:rsidRPr="00DE2523">
        <w:rPr>
          <w:lang w:val="en-AU" w:eastAsia="en-AU" w:bidi="ar-SA"/>
        </w:rPr>
        <w:t xml:space="preserve"> from </w:t>
      </w:r>
      <w:r w:rsidR="009D49D7" w:rsidRPr="00DE2523">
        <w:rPr>
          <w:i/>
          <w:lang w:val="en-AU" w:eastAsia="en-AU" w:bidi="ar-SA"/>
        </w:rPr>
        <w:t>Aspergillus oryzae</w:t>
      </w:r>
      <w:r w:rsidR="009D49D7" w:rsidRPr="00DE2523">
        <w:rPr>
          <w:lang w:val="en-AU" w:eastAsia="en-AU" w:bidi="ar-SA"/>
        </w:rPr>
        <w:t xml:space="preserve">, </w:t>
      </w:r>
      <w:r w:rsidR="009D49D7" w:rsidRPr="00DE2523">
        <w:rPr>
          <w:i/>
          <w:lang w:val="en-AU" w:eastAsia="en-AU" w:bidi="ar-SA"/>
        </w:rPr>
        <w:t>Bacillus amyloliquefaciens</w:t>
      </w:r>
      <w:r w:rsidR="009D49D7" w:rsidRPr="00DE2523">
        <w:rPr>
          <w:lang w:val="en-AU" w:eastAsia="en-AU" w:bidi="ar-SA"/>
        </w:rPr>
        <w:t xml:space="preserve">, </w:t>
      </w:r>
      <w:r w:rsidR="009D49D7" w:rsidRPr="00DE2523">
        <w:rPr>
          <w:i/>
          <w:lang w:val="en-AU" w:eastAsia="en-AU" w:bidi="ar-SA"/>
        </w:rPr>
        <w:t>Bacillus halodurans,</w:t>
      </w:r>
      <w:r w:rsidR="009D49D7" w:rsidRPr="00DE2523">
        <w:rPr>
          <w:lang w:val="en-AU" w:eastAsia="en-AU" w:bidi="ar-SA"/>
        </w:rPr>
        <w:t xml:space="preserve"> </w:t>
      </w:r>
      <w:r w:rsidR="009D49D7" w:rsidRPr="00DE2523">
        <w:rPr>
          <w:i/>
          <w:lang w:val="en-AU" w:eastAsia="en-AU" w:bidi="ar-SA"/>
        </w:rPr>
        <w:t>Bacillus licheniformis and Bacillus subtilis</w:t>
      </w:r>
      <w:r w:rsidR="009D49D7" w:rsidRPr="00DE2523">
        <w:rPr>
          <w:lang w:val="en-AU" w:eastAsia="en-AU" w:bidi="ar-SA"/>
        </w:rPr>
        <w:t xml:space="preserve"> are currently permitted in Schedule 18 of the Code. </w:t>
      </w:r>
      <w:r>
        <w:rPr>
          <w:lang w:val="en-AU" w:eastAsia="en-AU" w:bidi="ar-SA"/>
        </w:rPr>
        <w:t>T</w:t>
      </w:r>
      <w:r w:rsidRPr="006577E0">
        <w:rPr>
          <w:rFonts w:eastAsia="Calibri" w:cs="Arial"/>
          <w:szCs w:val="22"/>
          <w:lang w:bidi="ar-SA"/>
        </w:rPr>
        <w:t>hermomycolin</w:t>
      </w:r>
      <w:r>
        <w:rPr>
          <w:rFonts w:eastAsia="Calibri" w:cs="Arial"/>
          <w:szCs w:val="22"/>
          <w:lang w:bidi="ar-SA"/>
        </w:rPr>
        <w:t xml:space="preserve"> from</w:t>
      </w:r>
      <w:r w:rsidRPr="00DE2523">
        <w:rPr>
          <w:lang w:val="en-AU" w:eastAsia="en-AU" w:bidi="ar-SA"/>
        </w:rPr>
        <w:t xml:space="preserve"> </w:t>
      </w:r>
      <w:r w:rsidRPr="00DE2523">
        <w:rPr>
          <w:i/>
          <w:lang w:val="en-AU" w:eastAsia="en-AU" w:bidi="ar-SA"/>
        </w:rPr>
        <w:t xml:space="preserve">M. </w:t>
      </w:r>
      <w:r w:rsidRPr="00DE2523">
        <w:rPr>
          <w:i/>
          <w:lang w:val="en-AU"/>
        </w:rPr>
        <w:t xml:space="preserve">cinnamomea </w:t>
      </w:r>
      <w:r w:rsidRPr="00DE2523">
        <w:rPr>
          <w:lang w:val="en-AU" w:eastAsia="en-AU" w:bidi="ar-SA"/>
        </w:rPr>
        <w:t xml:space="preserve">produced in </w:t>
      </w:r>
      <w:r>
        <w:rPr>
          <w:i/>
          <w:lang w:val="en-AU" w:eastAsia="en-AU" w:bidi="ar-SA"/>
        </w:rPr>
        <w:t>T. rees</w:t>
      </w:r>
      <w:r w:rsidRPr="00DE2523">
        <w:rPr>
          <w:i/>
          <w:lang w:val="en-AU" w:eastAsia="en-AU" w:bidi="ar-SA"/>
        </w:rPr>
        <w:t>ei</w:t>
      </w:r>
      <w:r w:rsidR="009D49D7" w:rsidRPr="00DE2523">
        <w:rPr>
          <w:lang w:val="en-AU" w:eastAsia="en-AU" w:bidi="ar-SA"/>
        </w:rPr>
        <w:t xml:space="preserve"> is </w:t>
      </w:r>
      <w:r w:rsidR="009D49D7">
        <w:rPr>
          <w:lang w:val="en-AU" w:eastAsia="en-AU" w:bidi="ar-SA"/>
        </w:rPr>
        <w:t>approved for use in Denmark,</w:t>
      </w:r>
      <w:r w:rsidR="009D49D7" w:rsidRPr="00DE2523">
        <w:rPr>
          <w:lang w:val="en-AU" w:eastAsia="en-AU" w:bidi="ar-SA"/>
        </w:rPr>
        <w:t xml:space="preserve"> France</w:t>
      </w:r>
      <w:r w:rsidR="000B7331">
        <w:rPr>
          <w:lang w:val="en-AU" w:eastAsia="en-AU" w:bidi="ar-SA"/>
        </w:rPr>
        <w:t>,</w:t>
      </w:r>
      <w:r w:rsidR="009D49D7">
        <w:rPr>
          <w:lang w:val="en-AU" w:eastAsia="en-AU" w:bidi="ar-SA"/>
        </w:rPr>
        <w:t xml:space="preserve"> </w:t>
      </w:r>
      <w:r w:rsidR="009D49D7" w:rsidRPr="00E43AED">
        <w:rPr>
          <w:lang w:val="en-AU" w:eastAsia="en-AU" w:bidi="ar-SA"/>
        </w:rPr>
        <w:t>Canada, USA, Brazil and Mexico</w:t>
      </w:r>
      <w:r w:rsidR="009D49D7" w:rsidRPr="00DE2523">
        <w:rPr>
          <w:lang w:val="en-AU" w:eastAsia="en-AU" w:bidi="ar-SA"/>
        </w:rPr>
        <w:t xml:space="preserve">. </w:t>
      </w:r>
    </w:p>
    <w:p w14:paraId="0BA5AE28" w14:textId="77777777" w:rsidR="009D49D7" w:rsidRPr="00DE2523" w:rsidRDefault="009D49D7" w:rsidP="009D49D7">
      <w:pPr>
        <w:rPr>
          <w:lang w:val="en-AU" w:eastAsia="en-AU" w:bidi="ar-SA"/>
        </w:rPr>
      </w:pPr>
    </w:p>
    <w:p w14:paraId="6E16EFDF" w14:textId="20B19D84" w:rsidR="009D49D7" w:rsidRPr="00DE2523" w:rsidRDefault="009D49D7" w:rsidP="009D49D7">
      <w:pPr>
        <w:rPr>
          <w:lang w:val="en-AU" w:eastAsia="en-AU" w:bidi="ar-SA"/>
        </w:rPr>
      </w:pPr>
      <w:r w:rsidRPr="00DE2523">
        <w:rPr>
          <w:lang w:val="en-AU" w:eastAsia="en-AU" w:bidi="ar-SA"/>
        </w:rPr>
        <w:t xml:space="preserve">There are no known reports of adverse effects arising from the use of </w:t>
      </w:r>
      <w:r w:rsidR="004030D0" w:rsidRPr="006577E0">
        <w:rPr>
          <w:rFonts w:eastAsia="Calibri" w:cs="Arial"/>
          <w:szCs w:val="22"/>
          <w:lang w:bidi="ar-SA"/>
        </w:rPr>
        <w:t xml:space="preserve">thermomycolin </w:t>
      </w:r>
      <w:r w:rsidR="004030D0">
        <w:rPr>
          <w:rFonts w:eastAsia="Calibri" w:cs="Arial"/>
          <w:szCs w:val="22"/>
          <w:lang w:bidi="ar-SA"/>
        </w:rPr>
        <w:t xml:space="preserve">or </w:t>
      </w:r>
      <w:r w:rsidR="00A25C29">
        <w:rPr>
          <w:rFonts w:eastAsia="Calibri" w:cs="Arial"/>
          <w:szCs w:val="22"/>
          <w:lang w:bidi="ar-SA"/>
        </w:rPr>
        <w:t xml:space="preserve">other </w:t>
      </w:r>
      <w:r w:rsidRPr="00DE2523">
        <w:rPr>
          <w:lang w:val="en-AU" w:eastAsia="en-AU" w:bidi="ar-SA"/>
        </w:rPr>
        <w:t>serine proteinases in Australia</w:t>
      </w:r>
      <w:r w:rsidR="000B7331">
        <w:rPr>
          <w:lang w:val="en-AU" w:eastAsia="en-AU" w:bidi="ar-SA"/>
        </w:rPr>
        <w:t xml:space="preserve"> or New Zealand</w:t>
      </w:r>
      <w:r>
        <w:rPr>
          <w:lang w:val="en-AU" w:eastAsia="en-AU" w:bidi="ar-SA"/>
        </w:rPr>
        <w:t>,</w:t>
      </w:r>
      <w:r w:rsidRPr="00DE2523">
        <w:rPr>
          <w:lang w:val="en-AU" w:eastAsia="en-AU" w:bidi="ar-SA"/>
        </w:rPr>
        <w:t xml:space="preserve"> or any other jurisdiction where these enzyme</w:t>
      </w:r>
      <w:r>
        <w:rPr>
          <w:lang w:val="en-AU" w:eastAsia="en-AU" w:bidi="ar-SA"/>
        </w:rPr>
        <w:t>s</w:t>
      </w:r>
      <w:r w:rsidRPr="00DE2523">
        <w:rPr>
          <w:lang w:val="en-AU" w:eastAsia="en-AU" w:bidi="ar-SA"/>
        </w:rPr>
        <w:t xml:space="preserve"> have been approved as processing aids in food.</w:t>
      </w:r>
    </w:p>
    <w:p w14:paraId="00FD38D3" w14:textId="77777777" w:rsidR="009D49D7" w:rsidRPr="00DE2523" w:rsidRDefault="009D49D7" w:rsidP="009D49D7">
      <w:pPr>
        <w:pStyle w:val="Heading3"/>
      </w:pPr>
      <w:bookmarkStart w:id="126" w:name="_Toc67559444"/>
      <w:bookmarkStart w:id="127" w:name="_Toc85204776"/>
      <w:bookmarkStart w:id="128" w:name="_Toc85211338"/>
      <w:bookmarkStart w:id="129" w:name="_Toc94535627"/>
      <w:bookmarkStart w:id="130" w:name="_Toc97107441"/>
      <w:bookmarkStart w:id="131" w:name="_Toc101521536"/>
      <w:bookmarkStart w:id="132" w:name="_Toc67559445"/>
      <w:r w:rsidRPr="00DE2523">
        <w:t>3.3.2</w:t>
      </w:r>
      <w:r w:rsidRPr="00DE2523">
        <w:tab/>
        <w:t>Bioinformatics concerning potential for toxicity</w:t>
      </w:r>
      <w:bookmarkEnd w:id="126"/>
      <w:bookmarkEnd w:id="127"/>
      <w:bookmarkEnd w:id="128"/>
      <w:bookmarkEnd w:id="129"/>
      <w:bookmarkEnd w:id="130"/>
      <w:bookmarkEnd w:id="131"/>
      <w:r w:rsidRPr="00DE2523">
        <w:t xml:space="preserve"> </w:t>
      </w:r>
    </w:p>
    <w:p w14:paraId="0D799F0B" w14:textId="19B27933" w:rsidR="009D49D7" w:rsidRPr="00DE2523" w:rsidRDefault="009D49D7" w:rsidP="009D49D7">
      <w:pPr>
        <w:rPr>
          <w:lang w:val="en-AU" w:eastAsia="en-AU" w:bidi="ar-SA"/>
        </w:rPr>
      </w:pPr>
      <w:r w:rsidRPr="00BB6D18">
        <w:rPr>
          <w:lang w:val="en-AU" w:eastAsia="en-AU" w:bidi="ar-SA"/>
        </w:rPr>
        <w:t>A BLAST search was performed (May 2019) using the mature amino acid sequence against the non-redundant sequences in the NCBI sequence database</w:t>
      </w:r>
      <w:r w:rsidRPr="00BB6D18">
        <w:rPr>
          <w:rStyle w:val="FootnoteReference"/>
          <w:lang w:val="en-AU" w:eastAsia="en-AU" w:bidi="ar-SA"/>
        </w:rPr>
        <w:footnoteReference w:id="5"/>
      </w:r>
      <w:r w:rsidRPr="00BB6D18">
        <w:rPr>
          <w:lang w:val="en-AU" w:eastAsia="en-AU" w:bidi="ar-SA"/>
        </w:rPr>
        <w:t xml:space="preserve">. Based on the results obtained from these searches, it can be concluded that the </w:t>
      </w:r>
      <w:r w:rsidR="004030D0" w:rsidRPr="006577E0">
        <w:rPr>
          <w:rFonts w:eastAsia="Calibri" w:cs="Arial"/>
          <w:szCs w:val="22"/>
          <w:lang w:bidi="ar-SA"/>
        </w:rPr>
        <w:t xml:space="preserve">thermomycolin </w:t>
      </w:r>
      <w:r w:rsidRPr="00BB6D18">
        <w:rPr>
          <w:lang w:val="en-AU" w:eastAsia="en-AU" w:bidi="ar-SA"/>
        </w:rPr>
        <w:t xml:space="preserve">from </w:t>
      </w:r>
      <w:r w:rsidRPr="00BB6D18">
        <w:rPr>
          <w:i/>
          <w:lang w:val="en-AU"/>
        </w:rPr>
        <w:t>M. cinnamomea</w:t>
      </w:r>
      <w:r w:rsidRPr="00BB6D18">
        <w:rPr>
          <w:lang w:val="en-AU"/>
        </w:rPr>
        <w:t xml:space="preserve"> </w:t>
      </w:r>
      <w:r w:rsidRPr="00BB6D18">
        <w:rPr>
          <w:lang w:val="en-AU" w:eastAsia="en-AU" w:bidi="ar-SA"/>
        </w:rPr>
        <w:t>does not show significant homology to any protein sequence that would indicate toxicity.</w:t>
      </w:r>
    </w:p>
    <w:p w14:paraId="0DD718CE" w14:textId="77777777" w:rsidR="009D49D7" w:rsidRPr="00DE2523" w:rsidRDefault="009D49D7" w:rsidP="009D49D7">
      <w:pPr>
        <w:rPr>
          <w:lang w:val="en-AU" w:eastAsia="en-AU" w:bidi="ar-SA"/>
        </w:rPr>
      </w:pPr>
    </w:p>
    <w:p w14:paraId="0FDF5178" w14:textId="5BC7DD03" w:rsidR="009D49D7" w:rsidRPr="00DE2523" w:rsidRDefault="009D49D7" w:rsidP="009D49D7">
      <w:pPr>
        <w:rPr>
          <w:lang w:val="en-AU" w:eastAsia="en-AU" w:bidi="ar-SA"/>
        </w:rPr>
      </w:pPr>
      <w:r w:rsidRPr="00DE2523">
        <w:t>An additional BLAST search was performed by FSANZ during risk assessment (January, 202</w:t>
      </w:r>
      <w:r>
        <w:t>2</w:t>
      </w:r>
      <w:r w:rsidRPr="00DE2523">
        <w:t>), using the translated amino acid sequence against the complete UniProt database</w:t>
      </w:r>
      <w:r>
        <w:rPr>
          <w:rStyle w:val="FootnoteReference"/>
        </w:rPr>
        <w:footnoteReference w:id="6"/>
      </w:r>
      <w:r w:rsidRPr="00DE2523">
        <w:t>. No sequence match</w:t>
      </w:r>
      <w:r w:rsidR="000B7331">
        <w:t>es</w:t>
      </w:r>
      <w:r w:rsidRPr="00DE2523">
        <w:t xml:space="preserve"> in the top 1000 results were annotated as either toxins or venoms.</w:t>
      </w:r>
    </w:p>
    <w:p w14:paraId="05453463" w14:textId="77777777" w:rsidR="009D49D7" w:rsidRPr="00DE2523" w:rsidRDefault="009D49D7" w:rsidP="009D49D7">
      <w:pPr>
        <w:pStyle w:val="Heading3"/>
      </w:pPr>
      <w:bookmarkStart w:id="133" w:name="_Toc85204777"/>
      <w:bookmarkStart w:id="134" w:name="_Toc85211339"/>
      <w:bookmarkStart w:id="135" w:name="_Toc94535628"/>
      <w:bookmarkStart w:id="136" w:name="_Toc97107442"/>
      <w:bookmarkStart w:id="137" w:name="_Toc101521537"/>
      <w:r w:rsidRPr="00DE2523">
        <w:t>3.3.3</w:t>
      </w:r>
      <w:r w:rsidRPr="00DE2523">
        <w:tab/>
      </w:r>
      <w:bookmarkEnd w:id="132"/>
      <w:r w:rsidRPr="00DE2523">
        <w:t>Evaluation of toxicity studies</w:t>
      </w:r>
      <w:bookmarkEnd w:id="133"/>
      <w:bookmarkEnd w:id="134"/>
      <w:bookmarkEnd w:id="135"/>
      <w:bookmarkEnd w:id="136"/>
      <w:bookmarkEnd w:id="137"/>
    </w:p>
    <w:p w14:paraId="4AF7763F" w14:textId="1ABDFE54" w:rsidR="009D49D7" w:rsidRPr="00DE2523" w:rsidRDefault="009D49D7" w:rsidP="009D49D7">
      <w:pPr>
        <w:rPr>
          <w:lang w:val="en-AU"/>
        </w:rPr>
      </w:pPr>
      <w:r w:rsidRPr="00DE2523">
        <w:rPr>
          <w:lang w:val="en-AU" w:eastAsia="en-AU" w:bidi="ar-SA"/>
        </w:rPr>
        <w:t xml:space="preserve">The test item used in the following toxicity studies was </w:t>
      </w:r>
      <w:r w:rsidRPr="00DE2523">
        <w:rPr>
          <w:i/>
          <w:lang w:val="en-AU" w:eastAsia="en-AU" w:bidi="ar-SA"/>
        </w:rPr>
        <w:t xml:space="preserve">M. </w:t>
      </w:r>
      <w:r w:rsidRPr="00DE2523">
        <w:rPr>
          <w:i/>
          <w:lang w:val="en-AU"/>
        </w:rPr>
        <w:t>cinnamomea</w:t>
      </w:r>
      <w:r w:rsidRPr="00DE2523">
        <w:rPr>
          <w:lang w:val="en-AU"/>
        </w:rPr>
        <w:t xml:space="preserv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eastAsia="en-AU" w:bidi="ar-SA"/>
        </w:rPr>
        <w:t>produced using</w:t>
      </w:r>
      <w:r>
        <w:rPr>
          <w:lang w:val="en-AU" w:eastAsia="en-AU" w:bidi="ar-SA"/>
        </w:rPr>
        <w:t xml:space="preserve"> modified</w:t>
      </w:r>
      <w:r w:rsidRPr="00DE2523">
        <w:rPr>
          <w:lang w:val="en-AU" w:eastAsia="en-AU" w:bidi="ar-SA"/>
        </w:rPr>
        <w:t xml:space="preserve"> </w:t>
      </w:r>
      <w:r w:rsidRPr="00DE2523">
        <w:rPr>
          <w:i/>
          <w:lang w:val="en-AU" w:eastAsia="en-AU" w:bidi="ar-SA"/>
        </w:rPr>
        <w:t xml:space="preserve">T. reecei </w:t>
      </w:r>
      <w:r w:rsidRPr="00DE2523">
        <w:rPr>
          <w:lang w:val="en-AU"/>
        </w:rPr>
        <w:t>RF8963</w:t>
      </w:r>
      <w:r>
        <w:rPr>
          <w:lang w:val="en-AU"/>
        </w:rPr>
        <w:t xml:space="preserve"> </w:t>
      </w:r>
      <w:r w:rsidRPr="00DE2523">
        <w:rPr>
          <w:lang w:val="en-AU"/>
        </w:rPr>
        <w:t xml:space="preserve">and </w:t>
      </w:r>
      <w:r w:rsidR="000B7331">
        <w:rPr>
          <w:lang w:val="en-AU" w:eastAsia="en-AU" w:bidi="ar-SA"/>
        </w:rPr>
        <w:t>is representative of</w:t>
      </w:r>
      <w:r w:rsidR="000B7331" w:rsidRPr="00DE2523">
        <w:rPr>
          <w:lang w:val="en-AU" w:eastAsia="en-AU" w:bidi="ar-SA"/>
        </w:rPr>
        <w:t xml:space="preserve"> </w:t>
      </w:r>
      <w:r w:rsidRPr="00DE2523">
        <w:rPr>
          <w:lang w:val="en-AU" w:eastAsia="en-AU" w:bidi="ar-SA"/>
        </w:rPr>
        <w:t xml:space="preserve">the commercial enzyme product. </w:t>
      </w:r>
    </w:p>
    <w:p w14:paraId="12801A88" w14:textId="77777777" w:rsidR="009D49D7" w:rsidRPr="00DE2523" w:rsidRDefault="009D49D7" w:rsidP="009D49D7">
      <w:pPr>
        <w:rPr>
          <w:b/>
          <w:bCs/>
          <w:lang w:val="en-AU" w:eastAsia="en-AU" w:bidi="ar-SA"/>
        </w:rPr>
      </w:pPr>
    </w:p>
    <w:p w14:paraId="578681B6" w14:textId="77777777" w:rsidR="009D49D7" w:rsidRPr="00DE2523" w:rsidRDefault="009D49D7" w:rsidP="009D49D7">
      <w:pPr>
        <w:rPr>
          <w:b/>
          <w:i/>
          <w:lang w:val="en-AU" w:eastAsia="en-AU" w:bidi="ar-SA"/>
        </w:rPr>
      </w:pPr>
      <w:r w:rsidRPr="00DE2523">
        <w:rPr>
          <w:b/>
          <w:i/>
          <w:lang w:val="en-AU" w:eastAsia="en-AU" w:bidi="ar-SA"/>
        </w:rPr>
        <w:t>Animal Studies</w:t>
      </w:r>
    </w:p>
    <w:p w14:paraId="5E2B06B2" w14:textId="77777777" w:rsidR="009D49D7" w:rsidRPr="00DE2523" w:rsidRDefault="009D49D7" w:rsidP="009D49D7">
      <w:pPr>
        <w:rPr>
          <w:i/>
          <w:u w:val="single"/>
          <w:lang w:val="en-AU" w:eastAsia="en-AU" w:bidi="ar-SA"/>
        </w:rPr>
      </w:pPr>
    </w:p>
    <w:p w14:paraId="33ACC3DD" w14:textId="77777777" w:rsidR="009D49D7" w:rsidRPr="00DE2523" w:rsidRDefault="009D49D7" w:rsidP="009D49D7">
      <w:pPr>
        <w:rPr>
          <w:lang w:val="en-AU" w:eastAsia="en-AU" w:bidi="ar-SA"/>
        </w:rPr>
      </w:pPr>
      <w:r w:rsidRPr="00DE2523">
        <w:rPr>
          <w:i/>
          <w:u w:val="single"/>
          <w:lang w:val="en-AU" w:eastAsia="en-AU" w:bidi="ar-SA"/>
        </w:rPr>
        <w:t>90-day repeated dose oral toxicity study in rats (</w:t>
      </w:r>
      <w:r w:rsidRPr="00DE2523">
        <w:rPr>
          <w:i/>
          <w:u w:val="single"/>
          <w:lang w:val="en-AU" w:bidi="ar-SA"/>
        </w:rPr>
        <w:t>Eurofins BioPharma &amp; BSL BIOSERVICE</w:t>
      </w:r>
      <w:r w:rsidRPr="00DE2523">
        <w:rPr>
          <w:i/>
          <w:u w:val="single"/>
          <w:lang w:val="en-AU" w:eastAsia="en-AU" w:bidi="ar-SA"/>
        </w:rPr>
        <w:t>, 2017). Regulatory Status: GLP; conducted according to OECD Test Guideline (TG) 408 (1998).</w:t>
      </w:r>
      <w:r w:rsidRPr="00DE2523">
        <w:rPr>
          <w:lang w:val="en-AU" w:eastAsia="en-AU" w:bidi="ar-SA"/>
        </w:rPr>
        <w:t xml:space="preserve"> </w:t>
      </w:r>
    </w:p>
    <w:p w14:paraId="05E2D007" w14:textId="77777777" w:rsidR="009D49D7" w:rsidRPr="00DE2523" w:rsidRDefault="009D49D7" w:rsidP="009D49D7">
      <w:pPr>
        <w:rPr>
          <w:lang w:val="en-AU" w:eastAsia="en-AU" w:bidi="ar-SA"/>
        </w:rPr>
      </w:pPr>
    </w:p>
    <w:p w14:paraId="69534EBE" w14:textId="187511D7" w:rsidR="009D49D7" w:rsidRPr="00DE2523" w:rsidRDefault="009D49D7" w:rsidP="009D49D7">
      <w:pPr>
        <w:rPr>
          <w:lang w:val="en-AU" w:eastAsia="en-AU" w:bidi="ar-SA"/>
        </w:rPr>
      </w:pPr>
      <w:r w:rsidRPr="00DE2523">
        <w:rPr>
          <w:lang w:val="en-AU" w:eastAsia="en-AU" w:bidi="ar-SA"/>
        </w:rPr>
        <w:t xml:space="preserve">The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eastAsia="en-AU" w:bidi="ar-SA"/>
        </w:rPr>
        <w:t xml:space="preserve">test item was administered to Wistar Crl:WI(Han) rats (10/sex/group) at doses of 0, 100, 300, 600 and 1000 mg/kg bw/day enzyme (0, 15, 45, 90 and 150 mg/kg bw/day </w:t>
      </w:r>
      <w:r w:rsidR="00F8305E">
        <w:rPr>
          <w:lang w:val="en-AU" w:eastAsia="en-AU" w:bidi="ar-SA"/>
        </w:rPr>
        <w:t>total organic solids [</w:t>
      </w:r>
      <w:r w:rsidRPr="00DE2523">
        <w:rPr>
          <w:lang w:val="en-AU" w:eastAsia="en-AU" w:bidi="ar-SA"/>
        </w:rPr>
        <w:t>TOS</w:t>
      </w:r>
      <w:r w:rsidR="00F8305E">
        <w:rPr>
          <w:lang w:val="en-AU" w:eastAsia="en-AU" w:bidi="ar-SA"/>
        </w:rPr>
        <w:t>]</w:t>
      </w:r>
      <w:r w:rsidRPr="00DE2523">
        <w:rPr>
          <w:lang w:val="en-AU" w:eastAsia="en-AU" w:bidi="ar-SA"/>
        </w:rPr>
        <w:t>, respectively) by oral gavage for 13 weeks. The vehicle control was water.</w:t>
      </w:r>
    </w:p>
    <w:p w14:paraId="3C00C3B0" w14:textId="77777777" w:rsidR="009D49D7" w:rsidRPr="00DE2523" w:rsidRDefault="009D49D7" w:rsidP="009D49D7">
      <w:pPr>
        <w:rPr>
          <w:lang w:val="en-AU" w:eastAsia="en-AU" w:bidi="ar-SA"/>
        </w:rPr>
      </w:pPr>
    </w:p>
    <w:p w14:paraId="046009AA" w14:textId="77777777" w:rsidR="009D49D7" w:rsidRPr="00DE2523" w:rsidRDefault="009D49D7" w:rsidP="009D49D7">
      <w:pPr>
        <w:rPr>
          <w:lang w:val="en-AU" w:eastAsia="en-AU" w:bidi="ar-SA"/>
        </w:rPr>
      </w:pPr>
      <w:r w:rsidRPr="00DE2523">
        <w:rPr>
          <w:lang w:val="en-AU" w:eastAsia="en-AU" w:bidi="ar-SA"/>
        </w:rPr>
        <w:lastRenderedPageBreak/>
        <w:t>Animals were observed daily for signs of toxicity. Body weight, food consumption and detailed clinical examinations for signs of toxicity were recorded weekly. Ophthalmological examination and functional performance tests were conducted prior to first treatment and in week 13. Haematology, blood coagulation, clinical biochemistry, urinalysis, gross pathology</w:t>
      </w:r>
      <w:r>
        <w:rPr>
          <w:lang w:val="en-AU" w:eastAsia="en-AU" w:bidi="ar-SA"/>
        </w:rPr>
        <w:t>,</w:t>
      </w:r>
      <w:r w:rsidRPr="00DE2523">
        <w:rPr>
          <w:lang w:val="en-AU" w:eastAsia="en-AU" w:bidi="ar-SA"/>
        </w:rPr>
        <w:t xml:space="preserve"> measurement of organ weights</w:t>
      </w:r>
      <w:r>
        <w:rPr>
          <w:lang w:val="en-AU" w:eastAsia="en-AU" w:bidi="ar-SA"/>
        </w:rPr>
        <w:t xml:space="preserve"> and</w:t>
      </w:r>
      <w:r w:rsidRPr="00DE2523">
        <w:rPr>
          <w:lang w:val="en-AU" w:eastAsia="en-AU" w:bidi="ar-SA"/>
        </w:rPr>
        <w:t xml:space="preserve"> histopathological examination was conducted on all animals at study termination</w:t>
      </w:r>
      <w:r>
        <w:rPr>
          <w:lang w:val="en-AU" w:eastAsia="en-AU" w:bidi="ar-SA"/>
        </w:rPr>
        <w:t>.</w:t>
      </w:r>
      <w:r w:rsidRPr="00DE2523">
        <w:rPr>
          <w:lang w:val="en-AU" w:eastAsia="en-AU" w:bidi="ar-SA"/>
        </w:rPr>
        <w:t xml:space="preserve"> </w:t>
      </w:r>
    </w:p>
    <w:p w14:paraId="735F603F" w14:textId="77777777" w:rsidR="009D49D7" w:rsidRPr="00DE2523" w:rsidRDefault="009D49D7" w:rsidP="009D49D7">
      <w:pPr>
        <w:rPr>
          <w:lang w:val="en-AU" w:eastAsia="en-AU" w:bidi="ar-SA"/>
        </w:rPr>
      </w:pPr>
    </w:p>
    <w:p w14:paraId="2CFC5882" w14:textId="5AF0C6C1" w:rsidR="009D49D7" w:rsidRPr="00DE2523" w:rsidRDefault="009D49D7" w:rsidP="009D49D7">
      <w:pPr>
        <w:rPr>
          <w:lang w:val="en-AU" w:eastAsia="en-AU" w:bidi="ar-SA"/>
        </w:rPr>
      </w:pPr>
      <w:r w:rsidRPr="00DE2523">
        <w:rPr>
          <w:lang w:val="en-AU" w:eastAsia="en-AU" w:bidi="ar-SA"/>
        </w:rPr>
        <w:t xml:space="preserve">No treatment related mortality </w:t>
      </w:r>
      <w:r w:rsidR="006D4D96">
        <w:rPr>
          <w:lang w:val="en-AU" w:eastAsia="en-AU" w:bidi="ar-SA"/>
        </w:rPr>
        <w:t xml:space="preserve">or clinical signs were observed, </w:t>
      </w:r>
      <w:r w:rsidRPr="00DE2523">
        <w:rPr>
          <w:lang w:val="en-AU" w:eastAsia="en-AU" w:bidi="ar-SA"/>
        </w:rPr>
        <w:t xml:space="preserve">nor treatment related differences in feed consumption, body weights, haematology, clinical chemistry, ophthalmology, or functional observations or motor activity parameters. No remarkable macroscopic or histopathological changes were observed at necropsy. </w:t>
      </w:r>
    </w:p>
    <w:p w14:paraId="67DC445F" w14:textId="77777777" w:rsidR="009D49D7" w:rsidRPr="00DE2523" w:rsidRDefault="009D49D7" w:rsidP="009D49D7">
      <w:pPr>
        <w:rPr>
          <w:lang w:val="en-AU" w:eastAsia="en-AU" w:bidi="ar-SA"/>
        </w:rPr>
      </w:pPr>
    </w:p>
    <w:p w14:paraId="0837E5DA" w14:textId="7DE680CB" w:rsidR="009D49D7" w:rsidRPr="00DE2523" w:rsidRDefault="009D49D7" w:rsidP="009D49D7">
      <w:pPr>
        <w:rPr>
          <w:lang w:val="en-AU" w:eastAsia="en-AU" w:bidi="ar-SA"/>
        </w:rPr>
      </w:pPr>
      <w:r w:rsidRPr="00DE2523">
        <w:rPr>
          <w:lang w:val="en-AU" w:eastAsia="en-AU" w:bidi="ar-SA"/>
        </w:rPr>
        <w:t>The no observed adverse effect level (NOAEL) was 1000 mg/kg bw/day enzyme (150 mg/kg bw/day TOS), the highest dose tested.</w:t>
      </w:r>
    </w:p>
    <w:p w14:paraId="6379A0E7" w14:textId="77777777" w:rsidR="009D49D7" w:rsidRPr="00DE2523" w:rsidRDefault="009D49D7" w:rsidP="009D49D7">
      <w:pPr>
        <w:rPr>
          <w:lang w:val="en-AU" w:eastAsia="en-AU" w:bidi="ar-SA"/>
        </w:rPr>
      </w:pPr>
    </w:p>
    <w:p w14:paraId="4C1EAD69" w14:textId="77777777" w:rsidR="009D49D7" w:rsidRPr="00DE2523" w:rsidRDefault="009D49D7" w:rsidP="009D49D7">
      <w:pPr>
        <w:rPr>
          <w:b/>
          <w:i/>
          <w:lang w:val="en-AU" w:bidi="ar-SA"/>
        </w:rPr>
      </w:pPr>
      <w:r w:rsidRPr="00DE2523">
        <w:rPr>
          <w:b/>
          <w:i/>
          <w:lang w:val="en-AU" w:bidi="ar-SA"/>
        </w:rPr>
        <w:t>Genotoxicity</w:t>
      </w:r>
    </w:p>
    <w:p w14:paraId="4FEF79C6" w14:textId="77777777" w:rsidR="009D49D7" w:rsidRPr="00DE2523" w:rsidRDefault="009D49D7" w:rsidP="009D49D7">
      <w:pPr>
        <w:rPr>
          <w:lang w:val="en-AU" w:bidi="ar-SA"/>
        </w:rPr>
      </w:pPr>
    </w:p>
    <w:p w14:paraId="311F7899" w14:textId="77777777" w:rsidR="009D49D7" w:rsidRPr="00DE2523" w:rsidRDefault="009D49D7" w:rsidP="009D49D7">
      <w:pPr>
        <w:rPr>
          <w:i/>
          <w:u w:val="single"/>
          <w:lang w:val="en-AU" w:bidi="ar-SA"/>
        </w:rPr>
      </w:pPr>
      <w:r w:rsidRPr="00DE2523">
        <w:rPr>
          <w:i/>
          <w:u w:val="single"/>
          <w:lang w:val="en-AU" w:bidi="ar-SA"/>
        </w:rPr>
        <w:t>In vitro mammalian cell gene mutation test using the thymidine kinase gene (Eurofins BioPharma, 2016). Regulatory Status: GLP; conducted according to OECD TG 490.</w:t>
      </w:r>
    </w:p>
    <w:p w14:paraId="1F624CFE" w14:textId="77777777" w:rsidR="009D49D7" w:rsidRPr="00DE2523" w:rsidRDefault="009D49D7" w:rsidP="009D49D7">
      <w:pPr>
        <w:rPr>
          <w:lang w:val="en-AU" w:bidi="ar-SA"/>
        </w:rPr>
      </w:pPr>
    </w:p>
    <w:p w14:paraId="193063B9" w14:textId="60134CC5" w:rsidR="009D49D7" w:rsidRPr="00DE2523" w:rsidRDefault="009D49D7" w:rsidP="009D49D7">
      <w:pPr>
        <w:rPr>
          <w:lang w:val="en-AU" w:bidi="ar-SA"/>
        </w:rPr>
      </w:pPr>
      <w:r w:rsidRPr="00DE2523">
        <w:rPr>
          <w:lang w:val="en-AU" w:bidi="ar-SA"/>
        </w:rPr>
        <w:t xml:space="preserve">The potential mutagenicity of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was evaluated in mouse lymphoma L5178Y (clone TK</w:t>
      </w:r>
      <w:r w:rsidRPr="00DE2523">
        <w:rPr>
          <w:vertAlign w:val="superscript"/>
          <w:lang w:val="en-AU" w:bidi="ar-SA"/>
        </w:rPr>
        <w:t>+/-</w:t>
      </w:r>
      <w:r w:rsidRPr="00DE2523">
        <w:rPr>
          <w:lang w:val="en-AU" w:bidi="ar-SA"/>
        </w:rPr>
        <w:t xml:space="preserve"> -3.7.2C) cells, with and without metabolic activation using rat liver homogenate (S9). Cells were exposed to the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 xml:space="preserve">test item for 4 hours at 8 different concentrations within the dose range of 250-2000 </w:t>
      </w:r>
      <w:r w:rsidRPr="00DE2523">
        <w:rPr>
          <w:rFonts w:cs="Arial"/>
          <w:lang w:val="en-AU" w:bidi="ar-SA"/>
        </w:rPr>
        <w:t>µ</w:t>
      </w:r>
      <w:r w:rsidRPr="00DE2523">
        <w:rPr>
          <w:lang w:val="en-AU" w:bidi="ar-SA"/>
        </w:rPr>
        <w:t xml:space="preserve">g/mL in the presence of S9, or 50-1800 </w:t>
      </w:r>
      <w:r w:rsidRPr="00DE2523">
        <w:rPr>
          <w:rFonts w:cs="Arial"/>
          <w:lang w:val="en-AU" w:bidi="ar-SA"/>
        </w:rPr>
        <w:t>µ</w:t>
      </w:r>
      <w:r w:rsidRPr="00DE2523">
        <w:rPr>
          <w:lang w:val="en-AU" w:bidi="ar-SA"/>
        </w:rPr>
        <w:t>g/mL in the absence of S9, determined using a preliminary dose selection experiment. Positive controls were tested in parallel using ethylmethanesulphonate and methylmethanesulfonate in the absence of S9, and benzo[a]pyrene in the presence of S9. Sterile culture medium was used as the vehicle</w:t>
      </w:r>
      <w:r w:rsidR="00764BFD">
        <w:rPr>
          <w:lang w:val="en-AU" w:bidi="ar-SA"/>
        </w:rPr>
        <w:t xml:space="preserve"> control</w:t>
      </w:r>
      <w:r w:rsidRPr="00DE2523">
        <w:rPr>
          <w:lang w:val="en-AU" w:bidi="ar-SA"/>
        </w:rPr>
        <w:t>.</w:t>
      </w:r>
    </w:p>
    <w:p w14:paraId="706E7391" w14:textId="77777777" w:rsidR="009D49D7" w:rsidRPr="00DE2523" w:rsidRDefault="009D49D7" w:rsidP="009D49D7">
      <w:pPr>
        <w:rPr>
          <w:lang w:val="en-AU" w:bidi="ar-SA"/>
        </w:rPr>
      </w:pPr>
    </w:p>
    <w:p w14:paraId="585466D4" w14:textId="69C66888" w:rsidR="009D49D7" w:rsidRPr="00DE2523" w:rsidRDefault="009D49D7" w:rsidP="009D49D7">
      <w:pPr>
        <w:rPr>
          <w:lang w:val="en-AU" w:bidi="ar-SA"/>
        </w:rPr>
      </w:pPr>
      <w:r w:rsidRPr="00DE2523">
        <w:rPr>
          <w:lang w:val="en-AU" w:bidi="ar-SA"/>
        </w:rPr>
        <w:t>No biologically relevant increases in cell colonies were observed in mouse lymphoma L5178Y TK</w:t>
      </w:r>
      <w:r w:rsidRPr="00DE2523">
        <w:rPr>
          <w:vertAlign w:val="superscript"/>
          <w:lang w:val="en-AU" w:bidi="ar-SA"/>
        </w:rPr>
        <w:t>+/-</w:t>
      </w:r>
      <w:r w:rsidRPr="00DE2523">
        <w:rPr>
          <w:lang w:val="en-AU" w:bidi="ar-SA"/>
        </w:rPr>
        <w:t xml:space="preserve"> cell cultures treated with t</w:t>
      </w:r>
      <w:r w:rsidRPr="00DE2523">
        <w:rPr>
          <w:lang w:val="en-AU" w:eastAsia="en-AU" w:bidi="ar-SA"/>
        </w:rPr>
        <w:t xml:space="preserve">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eastAsia="en-AU" w:bidi="ar-SA"/>
        </w:rPr>
        <w:t xml:space="preserve">test item, </w:t>
      </w:r>
      <w:r w:rsidRPr="00DE2523">
        <w:rPr>
          <w:lang w:val="en-AU" w:bidi="ar-SA"/>
        </w:rPr>
        <w:t xml:space="preserve">with or without metabolic activation. All control treatments showed the anticipated mutagenic activity </w:t>
      </w:r>
      <w:r w:rsidR="00251E36">
        <w:rPr>
          <w:lang w:val="en-AU" w:bidi="ar-SA"/>
        </w:rPr>
        <w:t>and</w:t>
      </w:r>
      <w:r w:rsidRPr="00DE2523">
        <w:rPr>
          <w:lang w:val="en-AU" w:bidi="ar-SA"/>
        </w:rPr>
        <w:t xml:space="preserve"> were consistent with historical </w:t>
      </w:r>
      <w:r w:rsidR="00251E36">
        <w:rPr>
          <w:lang w:val="en-AU" w:bidi="ar-SA"/>
        </w:rPr>
        <w:t>control</w:t>
      </w:r>
      <w:r w:rsidRPr="00DE2523">
        <w:rPr>
          <w:lang w:val="en-AU" w:bidi="ar-SA"/>
        </w:rPr>
        <w:t xml:space="preserve"> ranges of the test facility, demonstrating the validity of the assay. It was concluded that the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 xml:space="preserve">test item was </w:t>
      </w:r>
      <w:r w:rsidR="00251E36">
        <w:rPr>
          <w:lang w:val="en-AU" w:bidi="ar-SA"/>
        </w:rPr>
        <w:t xml:space="preserve">not </w:t>
      </w:r>
      <w:r w:rsidRPr="00DE2523">
        <w:rPr>
          <w:lang w:val="en-AU" w:bidi="ar-SA"/>
        </w:rPr>
        <w:t xml:space="preserve">mutagenic under the conditions of the study. </w:t>
      </w:r>
    </w:p>
    <w:p w14:paraId="38F9B53F" w14:textId="77777777" w:rsidR="009D49D7" w:rsidRPr="00DE2523" w:rsidRDefault="009D49D7" w:rsidP="009D49D7">
      <w:pPr>
        <w:rPr>
          <w:highlight w:val="yellow"/>
          <w:lang w:val="en-AU" w:bidi="ar-SA"/>
        </w:rPr>
      </w:pPr>
    </w:p>
    <w:p w14:paraId="5EAB10BF" w14:textId="77777777" w:rsidR="009D49D7" w:rsidRPr="00DE2523" w:rsidRDefault="009D49D7" w:rsidP="009D49D7">
      <w:pPr>
        <w:rPr>
          <w:i/>
          <w:u w:val="single"/>
          <w:lang w:val="en-AU" w:bidi="ar-SA"/>
        </w:rPr>
      </w:pPr>
      <w:r w:rsidRPr="00DE2523">
        <w:rPr>
          <w:i/>
          <w:u w:val="single"/>
          <w:lang w:val="en-AU" w:bidi="ar-SA"/>
        </w:rPr>
        <w:t>In vitro mammalian cell micronucleus test (Eurofins BioPharma</w:t>
      </w:r>
      <w:r w:rsidRPr="00DE2523">
        <w:rPr>
          <w:i/>
          <w:u w:val="single"/>
          <w:lang w:val="en-AU" w:eastAsia="en-AU" w:bidi="ar-SA"/>
        </w:rPr>
        <w:t>, 2016</w:t>
      </w:r>
      <w:r w:rsidRPr="00DE2523">
        <w:rPr>
          <w:i/>
          <w:u w:val="single"/>
          <w:lang w:val="en-AU" w:bidi="ar-SA"/>
        </w:rPr>
        <w:t>). Regulatory status: GLP; conducted according to OECD TG 487.</w:t>
      </w:r>
    </w:p>
    <w:p w14:paraId="63AE4793" w14:textId="77777777" w:rsidR="009D49D7" w:rsidRPr="00DE2523" w:rsidRDefault="009D49D7" w:rsidP="009D49D7">
      <w:pPr>
        <w:rPr>
          <w:lang w:val="en-AU" w:bidi="ar-SA"/>
        </w:rPr>
      </w:pPr>
    </w:p>
    <w:p w14:paraId="2FFCCA97" w14:textId="67906E7F" w:rsidR="009D49D7" w:rsidRPr="00DE2523" w:rsidRDefault="009D49D7" w:rsidP="009D49D7">
      <w:pPr>
        <w:rPr>
          <w:lang w:val="en-AU" w:bidi="ar-SA"/>
        </w:rPr>
      </w:pPr>
      <w:r w:rsidRPr="00DE2523">
        <w:rPr>
          <w:lang w:val="en-AU" w:bidi="ar-SA"/>
        </w:rPr>
        <w:t xml:space="preserve">The potential of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 xml:space="preserve">to increase micronuclei formation in </w:t>
      </w:r>
      <w:r w:rsidRPr="00DE2523">
        <w:rPr>
          <w:lang w:val="en-AU" w:bidi="ar-SA"/>
        </w:rPr>
        <w:lastRenderedPageBreak/>
        <w:t xml:space="preserve">mammalian cells was tested using human lymphocytes isolated from peripheral blood, collected from a healthy volunteer. Treatment with the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test item was either a 4 hour pulse exposure with or without S9, followed by a 40 hour recovery; or 43-44 hours of continuous exposure without S9. Positive control assays were conducted in parallel using ethylmethanesulphonate and colchicine in the absence of S9 as clastogenic and aneugenic controls respectively, and cyclophosphamide as a clastogenic control in the presence of S9.</w:t>
      </w:r>
      <w:r w:rsidR="006D4D96">
        <w:rPr>
          <w:lang w:val="en-AU" w:bidi="ar-SA"/>
        </w:rPr>
        <w:t xml:space="preserve"> </w:t>
      </w:r>
      <w:r w:rsidR="006D4D96" w:rsidRPr="00DE2523">
        <w:rPr>
          <w:lang w:val="en-AU" w:bidi="ar-SA"/>
        </w:rPr>
        <w:t>Sterile culture medium was used as the vehicle</w:t>
      </w:r>
      <w:r w:rsidR="006D4D96">
        <w:rPr>
          <w:lang w:val="en-AU" w:bidi="ar-SA"/>
        </w:rPr>
        <w:t xml:space="preserve"> control.</w:t>
      </w:r>
      <w:r w:rsidRPr="00DE2523">
        <w:rPr>
          <w:lang w:val="en-AU" w:bidi="ar-SA"/>
        </w:rPr>
        <w:t xml:space="preserve"> The experiment was carried out once in duplicate.</w:t>
      </w:r>
    </w:p>
    <w:p w14:paraId="0FF4C3D2" w14:textId="77777777" w:rsidR="009D49D7" w:rsidRPr="00DE2523" w:rsidRDefault="009D49D7" w:rsidP="009D49D7">
      <w:pPr>
        <w:rPr>
          <w:lang w:val="en-AU" w:bidi="ar-SA"/>
        </w:rPr>
      </w:pPr>
    </w:p>
    <w:p w14:paraId="3C091546" w14:textId="3537F259" w:rsidR="009D49D7" w:rsidRPr="00DE2523" w:rsidRDefault="009D49D7" w:rsidP="009D49D7">
      <w:pPr>
        <w:rPr>
          <w:lang w:val="en-AU" w:bidi="ar-SA"/>
        </w:rPr>
      </w:pPr>
      <w:r w:rsidRPr="00DE2523">
        <w:rPr>
          <w:lang w:val="en-AU" w:bidi="ar-SA"/>
        </w:rPr>
        <w:t xml:space="preserve">Based on preliminary dose selection experiments, the dose range of 1000-2750 </w:t>
      </w:r>
      <w:r w:rsidRPr="00DE2523">
        <w:rPr>
          <w:rFonts w:cs="Arial"/>
          <w:lang w:val="en-AU" w:bidi="ar-SA"/>
        </w:rPr>
        <w:t>µ</w:t>
      </w:r>
      <w:r w:rsidRPr="00DE2523">
        <w:rPr>
          <w:lang w:val="en-AU" w:bidi="ar-SA"/>
        </w:rPr>
        <w:t xml:space="preserve">g/mL and 2000-3500 </w:t>
      </w:r>
      <w:r w:rsidRPr="00DE2523">
        <w:rPr>
          <w:rFonts w:cs="Arial"/>
          <w:lang w:val="en-AU" w:bidi="ar-SA"/>
        </w:rPr>
        <w:t>µ</w:t>
      </w:r>
      <w:r w:rsidRPr="00DE2523">
        <w:rPr>
          <w:lang w:val="en-AU" w:bidi="ar-SA"/>
        </w:rPr>
        <w:t xml:space="preserve">g/mL was </w:t>
      </w:r>
      <w:r w:rsidR="00251E36">
        <w:rPr>
          <w:lang w:val="en-AU" w:bidi="ar-SA"/>
        </w:rPr>
        <w:t>used</w:t>
      </w:r>
      <w:r w:rsidR="00251E36" w:rsidRPr="00DE2523">
        <w:rPr>
          <w:lang w:val="en-AU" w:bidi="ar-SA"/>
        </w:rPr>
        <w:t xml:space="preserve"> </w:t>
      </w:r>
      <w:r w:rsidRPr="00DE2523">
        <w:rPr>
          <w:lang w:val="en-AU" w:bidi="ar-SA"/>
        </w:rPr>
        <w:t xml:space="preserve">for the 4 hour pulse exposure treatment, with and without S9 respectively, and 25-400 </w:t>
      </w:r>
      <w:r w:rsidRPr="00DE2523">
        <w:rPr>
          <w:rFonts w:cs="Arial"/>
          <w:lang w:val="en-AU" w:bidi="ar-SA"/>
        </w:rPr>
        <w:t>µ</w:t>
      </w:r>
      <w:r w:rsidRPr="00DE2523">
        <w:rPr>
          <w:lang w:val="en-AU" w:bidi="ar-SA"/>
        </w:rPr>
        <w:t>g/mL for the continuous exposure without S9.</w:t>
      </w:r>
    </w:p>
    <w:p w14:paraId="4381EAEE" w14:textId="77777777" w:rsidR="009D49D7" w:rsidRPr="00DE2523" w:rsidRDefault="009D49D7" w:rsidP="009D49D7">
      <w:pPr>
        <w:rPr>
          <w:lang w:val="en-AU" w:bidi="ar-SA"/>
        </w:rPr>
      </w:pPr>
    </w:p>
    <w:p w14:paraId="6A1E97C2" w14:textId="2A1E4821" w:rsidR="009D49D7" w:rsidRPr="00DE2523" w:rsidRDefault="009D49D7" w:rsidP="009D49D7">
      <w:pPr>
        <w:rPr>
          <w:lang w:val="en-AU" w:bidi="ar-SA"/>
        </w:rPr>
      </w:pPr>
      <w:r w:rsidRPr="00DE2523">
        <w:rPr>
          <w:lang w:val="en-AU" w:bidi="ar-SA"/>
        </w:rPr>
        <w:t xml:space="preserve">There were no treatment related increases in micronuclei formation observed in peripheral blood lymphocytes following exposure to the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 xml:space="preserve">test item, relative to the vehicle controls, under any of the conditions tested. The positive controls demonstrated a statistically significant increase in the formation of micronuclei, validating the sensitivity of the experimental methodology. It was concluded that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was not clastogenic or aneug</w:t>
      </w:r>
      <w:r w:rsidR="00251E36">
        <w:rPr>
          <w:lang w:val="en-AU" w:bidi="ar-SA"/>
        </w:rPr>
        <w:t>e</w:t>
      </w:r>
      <w:r w:rsidRPr="00DE2523">
        <w:rPr>
          <w:lang w:val="en-AU" w:bidi="ar-SA"/>
        </w:rPr>
        <w:t>nic under the conditions of the study.</w:t>
      </w:r>
    </w:p>
    <w:p w14:paraId="32B0CB83" w14:textId="77777777" w:rsidR="009D49D7" w:rsidRPr="00DE2523" w:rsidRDefault="009D49D7" w:rsidP="009D49D7">
      <w:pPr>
        <w:pStyle w:val="Heading3"/>
      </w:pPr>
      <w:bookmarkStart w:id="138" w:name="_Toc85204779"/>
      <w:bookmarkStart w:id="139" w:name="_Toc85211341"/>
      <w:bookmarkStart w:id="140" w:name="_Toc94535629"/>
      <w:bookmarkStart w:id="141" w:name="_Toc97107443"/>
      <w:bookmarkStart w:id="142" w:name="_Toc101521538"/>
      <w:r w:rsidRPr="00DE2523">
        <w:t>3.3.5</w:t>
      </w:r>
      <w:r w:rsidRPr="00DE2523">
        <w:tab/>
        <w:t>Potential for allergenicity</w:t>
      </w:r>
      <w:bookmarkEnd w:id="138"/>
      <w:bookmarkEnd w:id="139"/>
      <w:bookmarkEnd w:id="140"/>
      <w:bookmarkEnd w:id="141"/>
      <w:bookmarkEnd w:id="142"/>
      <w:r w:rsidRPr="00DE2523">
        <w:t xml:space="preserve"> </w:t>
      </w:r>
    </w:p>
    <w:p w14:paraId="437C38DB" w14:textId="35E2FBF7" w:rsidR="009D49D7" w:rsidRPr="00DE2523" w:rsidRDefault="009D49D7" w:rsidP="009D49D7">
      <w:pPr>
        <w:rPr>
          <w:lang w:val="en-AU" w:eastAsia="en-AU" w:bidi="ar-SA"/>
        </w:rPr>
      </w:pPr>
      <w:r w:rsidRPr="00DE2523">
        <w:rPr>
          <w:lang w:val="en-AU" w:bidi="ar-SA"/>
        </w:rPr>
        <w:t xml:space="preserve">A FASTA search </w:t>
      </w:r>
      <w:r w:rsidR="00251E36">
        <w:rPr>
          <w:lang w:val="en-AU" w:bidi="ar-SA"/>
        </w:rPr>
        <w:t>for homology to known allergens</w:t>
      </w:r>
      <w:r w:rsidRPr="00DE2523">
        <w:rPr>
          <w:lang w:val="en-AU" w:bidi="ar-SA"/>
        </w:rPr>
        <w:t xml:space="preserve"> was performed using the amino acid sequence of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bidi="ar-SA"/>
        </w:rPr>
        <w:t xml:space="preserve">using the </w:t>
      </w:r>
      <w:hyperlink r:id="rId18" w:history="1">
        <w:r w:rsidRPr="00DE2523">
          <w:rPr>
            <w:rStyle w:val="Hyperlink"/>
            <w:color w:val="auto"/>
            <w:lang w:val="en-AU" w:bidi="ar-SA"/>
          </w:rPr>
          <w:t>AllergenOnline</w:t>
        </w:r>
      </w:hyperlink>
      <w:r w:rsidRPr="00DE2523">
        <w:rPr>
          <w:rStyle w:val="FootnoteReference"/>
          <w:lang w:val="en-AU" w:bidi="ar-SA"/>
        </w:rPr>
        <w:footnoteReference w:id="7"/>
      </w:r>
      <w:r w:rsidRPr="00DE2523">
        <w:rPr>
          <w:lang w:val="en-AU" w:bidi="ar-SA"/>
        </w:rPr>
        <w:t xml:space="preserve"> database (</w:t>
      </w:r>
      <w:r w:rsidRPr="00DE2523">
        <w:rPr>
          <w:lang w:val="en-AU" w:eastAsia="en-AU"/>
        </w:rPr>
        <w:t>queried January 2017)</w:t>
      </w:r>
      <w:r w:rsidRPr="00DE2523">
        <w:rPr>
          <w:lang w:val="en-AU" w:eastAsia="en-AU" w:bidi="ar-SA"/>
        </w:rPr>
        <w:t xml:space="preserve"> </w:t>
      </w:r>
      <w:r w:rsidRPr="00DE2523">
        <w:rPr>
          <w:lang w:val="en-AU" w:eastAsia="en-AU"/>
        </w:rPr>
        <w:t>using two</w:t>
      </w:r>
      <w:r w:rsidRPr="00DE2523">
        <w:rPr>
          <w:lang w:val="en-AU" w:eastAsia="en-AU" w:bidi="ar-SA"/>
        </w:rPr>
        <w:t xml:space="preserve"> sequence alignments: an 80 mer sliding window (&gt;35% homology) and the full length protein (&gt;35% homology). FSANZ reaffirmed the bioinformatics searches </w:t>
      </w:r>
      <w:r w:rsidR="00251E36">
        <w:rPr>
          <w:lang w:val="en-AU" w:eastAsia="en-AU" w:bidi="ar-SA"/>
        </w:rPr>
        <w:t>in January 2022</w:t>
      </w:r>
      <w:r w:rsidRPr="00DE2523">
        <w:rPr>
          <w:lang w:val="en-AU" w:eastAsia="en-AU" w:bidi="ar-SA"/>
        </w:rPr>
        <w:t xml:space="preserve"> utilising the sequence provided by the applicant</w:t>
      </w:r>
      <w:r w:rsidR="00764BFD">
        <w:rPr>
          <w:lang w:val="en-AU" w:eastAsia="en-AU" w:bidi="ar-SA"/>
        </w:rPr>
        <w:t>.</w:t>
      </w:r>
    </w:p>
    <w:p w14:paraId="0F9E025A" w14:textId="77777777" w:rsidR="009D49D7" w:rsidRPr="00DE2523" w:rsidRDefault="009D49D7" w:rsidP="009D49D7">
      <w:pPr>
        <w:rPr>
          <w:lang w:val="en-AU" w:eastAsia="en-AU" w:bidi="ar-SA"/>
        </w:rPr>
      </w:pPr>
    </w:p>
    <w:p w14:paraId="3BCCF38A" w14:textId="3ED2FC4E" w:rsidR="009D49D7" w:rsidRPr="00DE2523" w:rsidRDefault="009D49D7" w:rsidP="009D49D7">
      <w:pPr>
        <w:rPr>
          <w:lang w:eastAsia="en-AU"/>
        </w:rPr>
      </w:pPr>
      <w:r w:rsidRPr="00DE2523">
        <w:rPr>
          <w:lang w:eastAsia="en-AU"/>
        </w:rPr>
        <w:t xml:space="preserve">None of the identified </w:t>
      </w:r>
      <w:r w:rsidR="00895A49">
        <w:rPr>
          <w:lang w:eastAsia="en-AU"/>
        </w:rPr>
        <w:t>matches</w:t>
      </w:r>
      <w:r w:rsidR="00895A49" w:rsidRPr="00DE2523">
        <w:rPr>
          <w:lang w:eastAsia="en-AU"/>
        </w:rPr>
        <w:t xml:space="preserve"> </w:t>
      </w:r>
      <w:r w:rsidRPr="00DE2523">
        <w:rPr>
          <w:lang w:eastAsia="en-AU"/>
        </w:rPr>
        <w:t>were recognised food allergens</w:t>
      </w:r>
      <w:r w:rsidRPr="00DE2523">
        <w:rPr>
          <w:rStyle w:val="FootnoteReference"/>
          <w:lang w:eastAsia="en-AU"/>
        </w:rPr>
        <w:footnoteReference w:id="8"/>
      </w:r>
      <w:r w:rsidRPr="00DE2523">
        <w:rPr>
          <w:lang w:eastAsia="en-AU"/>
        </w:rPr>
        <w:t xml:space="preserve">. </w:t>
      </w:r>
      <w:r w:rsidRPr="00DE2523">
        <w:rPr>
          <w:lang w:val="en-AU" w:eastAsia="en-AU" w:bidi="ar-SA"/>
        </w:rPr>
        <w:t xml:space="preserve">Proteinases </w:t>
      </w:r>
      <w:r w:rsidRPr="00DE2523">
        <w:rPr>
          <w:lang w:eastAsia="en-AU" w:bidi="ar-SA"/>
        </w:rPr>
        <w:t xml:space="preserve">from papaya, muskmelon (rock melon) and kiwi fruit are known food allergens, however these share low sequence similarity (less than 30% identity) with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eastAsia="en-AU" w:bidi="ar-SA"/>
        </w:rPr>
        <w:t xml:space="preserve">from </w:t>
      </w:r>
      <w:r w:rsidRPr="00DE2523">
        <w:rPr>
          <w:i/>
          <w:lang w:eastAsia="en-AU" w:bidi="ar-SA"/>
        </w:rPr>
        <w:t>M. </w:t>
      </w:r>
      <w:r w:rsidRPr="00DE2523">
        <w:rPr>
          <w:i/>
          <w:lang w:val="en-AU"/>
        </w:rPr>
        <w:t>cinnamomea</w:t>
      </w:r>
      <w:r w:rsidRPr="00DE2523">
        <w:rPr>
          <w:lang w:eastAsia="en-AU" w:bidi="ar-SA"/>
        </w:rPr>
        <w:t>. Furthermore, t</w:t>
      </w:r>
      <w:r w:rsidRPr="00DE2523">
        <w:rPr>
          <w:lang w:val="en-AU" w:eastAsia="en-AU"/>
        </w:rPr>
        <w:t xml:space="preserve">he applicant supplied the results </w:t>
      </w:r>
      <w:r w:rsidRPr="00DE2523">
        <w:rPr>
          <w:rFonts w:cs="Arial"/>
          <w:szCs w:val="22"/>
          <w:lang w:val="en-AU" w:eastAsia="en-AU"/>
        </w:rPr>
        <w:t xml:space="preserve">of an </w:t>
      </w:r>
      <w:r w:rsidRPr="00DE2523">
        <w:rPr>
          <w:rFonts w:cs="Arial"/>
          <w:i/>
          <w:szCs w:val="22"/>
          <w:lang w:val="en-AU" w:eastAsia="en-AU"/>
        </w:rPr>
        <w:t>in vitro</w:t>
      </w:r>
      <w:r w:rsidRPr="00DE2523">
        <w:t xml:space="preserve"> </w:t>
      </w:r>
      <w:r w:rsidRPr="00DE2523">
        <w:rPr>
          <w:rFonts w:cs="Arial"/>
          <w:szCs w:val="22"/>
          <w:lang w:val="en-AU" w:eastAsia="en-AU"/>
        </w:rPr>
        <w:t xml:space="preserve">digestion assay, showing that the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rFonts w:cs="Arial"/>
          <w:szCs w:val="22"/>
          <w:lang w:val="en-AU" w:eastAsia="en-AU"/>
        </w:rPr>
        <w:t>was liable to pepsin proteolysis</w:t>
      </w:r>
      <w:r w:rsidRPr="00DE2523">
        <w:rPr>
          <w:lang w:eastAsia="en-AU"/>
        </w:rPr>
        <w:t>. Enzymes readily hydrolysed by proteolysis are</w:t>
      </w:r>
      <w:r w:rsidR="00895A49">
        <w:rPr>
          <w:lang w:eastAsia="en-AU"/>
        </w:rPr>
        <w:t xml:space="preserve"> generally</w:t>
      </w:r>
      <w:r w:rsidRPr="00DE2523">
        <w:rPr>
          <w:lang w:eastAsia="en-AU"/>
        </w:rPr>
        <w:t xml:space="preserve"> considered to have a lower potential of becoming food allergens</w:t>
      </w:r>
      <w:r w:rsidRPr="00DE2523">
        <w:rPr>
          <w:lang w:val="en-AU" w:eastAsia="en-AU"/>
        </w:rPr>
        <w:t xml:space="preserve"> (FAO/WHO 2009</w:t>
      </w:r>
      <w:r w:rsidR="00B61E11">
        <w:rPr>
          <w:lang w:val="en-AU" w:eastAsia="en-AU"/>
        </w:rPr>
        <w:t>a</w:t>
      </w:r>
      <w:r w:rsidRPr="00DE2523">
        <w:rPr>
          <w:lang w:val="en-AU" w:eastAsia="en-AU"/>
        </w:rPr>
        <w:t xml:space="preserve">). </w:t>
      </w:r>
    </w:p>
    <w:p w14:paraId="40A7BB7E" w14:textId="77777777" w:rsidR="009D49D7" w:rsidRDefault="009D49D7" w:rsidP="009D49D7">
      <w:pPr>
        <w:rPr>
          <w:highlight w:val="yellow"/>
          <w:lang w:val="en-AU" w:eastAsia="en-AU"/>
        </w:rPr>
      </w:pPr>
    </w:p>
    <w:p w14:paraId="1CE059D2" w14:textId="2026FF14" w:rsidR="009D49D7" w:rsidRPr="00DE2523" w:rsidRDefault="009D49D7" w:rsidP="009D49D7">
      <w:pPr>
        <w:rPr>
          <w:lang w:eastAsia="en-AU" w:bidi="ar-SA"/>
        </w:rPr>
      </w:pPr>
      <w:r w:rsidRPr="00DE2523">
        <w:rPr>
          <w:lang w:val="en-AU" w:eastAsia="en-AU" w:bidi="ar-SA"/>
        </w:rPr>
        <w:t xml:space="preserve">It was concluded that the presence of </w:t>
      </w:r>
      <w:r w:rsidR="004030D0" w:rsidRPr="006577E0">
        <w:rPr>
          <w:rFonts w:eastAsia="Calibri" w:cs="Arial"/>
          <w:szCs w:val="22"/>
          <w:lang w:bidi="ar-SA"/>
        </w:rPr>
        <w:t>thermomycolin</w:t>
      </w:r>
      <w:r w:rsidRPr="006577E0">
        <w:rPr>
          <w:rFonts w:eastAsia="Calibri" w:cs="Arial"/>
          <w:szCs w:val="22"/>
          <w:lang w:bidi="ar-SA"/>
        </w:rPr>
        <w:t xml:space="preserve"> </w:t>
      </w:r>
      <w:r w:rsidRPr="00DE2523">
        <w:rPr>
          <w:lang w:val="en-AU" w:eastAsia="en-AU" w:bidi="ar-SA"/>
        </w:rPr>
        <w:t xml:space="preserve">produced using </w:t>
      </w:r>
      <w:r w:rsidRPr="00DE2523">
        <w:rPr>
          <w:lang w:val="en-AU" w:eastAsia="en-AU" w:bidi="ar-SA"/>
        </w:rPr>
        <w:lastRenderedPageBreak/>
        <w:t xml:space="preserve">modified </w:t>
      </w:r>
      <w:r>
        <w:rPr>
          <w:i/>
          <w:lang w:val="en-AU" w:eastAsia="en-AU" w:bidi="ar-SA"/>
        </w:rPr>
        <w:t>T. rees</w:t>
      </w:r>
      <w:r w:rsidRPr="00DE2523">
        <w:rPr>
          <w:i/>
          <w:lang w:val="en-AU" w:eastAsia="en-AU" w:bidi="ar-SA"/>
        </w:rPr>
        <w:t>ei</w:t>
      </w:r>
      <w:r w:rsidRPr="00DE2523">
        <w:rPr>
          <w:lang w:val="en-AU" w:eastAsia="en-AU" w:bidi="ar-SA"/>
        </w:rPr>
        <w:t xml:space="preserve"> in food is unlikely to pose an allergenicity concern to consumers.</w:t>
      </w:r>
    </w:p>
    <w:p w14:paraId="65E29AEA" w14:textId="77777777" w:rsidR="009D49D7" w:rsidRPr="00DE2523" w:rsidRDefault="009D49D7" w:rsidP="009D49D7">
      <w:pPr>
        <w:pStyle w:val="Heading3"/>
      </w:pPr>
      <w:bookmarkStart w:id="143" w:name="_Toc67559448"/>
      <w:bookmarkStart w:id="144" w:name="_Toc85204780"/>
      <w:bookmarkStart w:id="145" w:name="_Toc85211342"/>
      <w:bookmarkStart w:id="146" w:name="_Toc94535630"/>
      <w:bookmarkStart w:id="147" w:name="_Toc97107444"/>
      <w:bookmarkStart w:id="148" w:name="_Toc101521539"/>
      <w:r w:rsidRPr="00DE2523">
        <w:t>3.3.6</w:t>
      </w:r>
      <w:r w:rsidRPr="00DE2523">
        <w:tab/>
        <w:t>Assessments by other regulatory agencies</w:t>
      </w:r>
      <w:bookmarkEnd w:id="143"/>
      <w:bookmarkEnd w:id="144"/>
      <w:bookmarkEnd w:id="145"/>
      <w:bookmarkEnd w:id="146"/>
      <w:bookmarkEnd w:id="147"/>
      <w:bookmarkEnd w:id="148"/>
    </w:p>
    <w:p w14:paraId="415DE3BE" w14:textId="5439EFC5" w:rsidR="009D49D7" w:rsidRPr="00E43AED" w:rsidRDefault="00A6648C" w:rsidP="009D49D7">
      <w:pPr>
        <w:rPr>
          <w:lang w:val="en-AU" w:eastAsia="en-AU" w:bidi="ar-SA"/>
        </w:rPr>
      </w:pPr>
      <w:r>
        <w:rPr>
          <w:lang w:val="en-AU" w:eastAsia="en-AU" w:bidi="ar-SA"/>
        </w:rPr>
        <w:t>L</w:t>
      </w:r>
      <w:r w:rsidR="009D49D7" w:rsidRPr="00E43AED">
        <w:rPr>
          <w:lang w:val="en-AU" w:eastAsia="en-AU" w:bidi="ar-SA"/>
        </w:rPr>
        <w:t>etters of approval for the</w:t>
      </w:r>
      <w:r w:rsidR="009D49D7">
        <w:rPr>
          <w:lang w:val="en-AU" w:eastAsia="en-AU" w:bidi="ar-SA"/>
        </w:rPr>
        <w:t xml:space="preserve"> use of </w:t>
      </w:r>
      <w:r w:rsidR="009D49D7" w:rsidRPr="00DE2523">
        <w:rPr>
          <w:i/>
          <w:lang w:val="en-AU" w:eastAsia="en-AU" w:bidi="ar-SA"/>
        </w:rPr>
        <w:t xml:space="preserve">M. </w:t>
      </w:r>
      <w:r w:rsidR="009D49D7" w:rsidRPr="00DE2523">
        <w:rPr>
          <w:i/>
          <w:lang w:val="en-AU"/>
        </w:rPr>
        <w:t>cinnamomea</w:t>
      </w:r>
      <w:r w:rsidR="009D49D7" w:rsidRPr="00DE2523">
        <w:rPr>
          <w:lang w:val="en-AU"/>
        </w:rPr>
        <w:t xml:space="preserve"> </w:t>
      </w:r>
      <w:r w:rsidR="004030D0" w:rsidRPr="006577E0">
        <w:rPr>
          <w:rFonts w:eastAsia="Calibri" w:cs="Arial"/>
          <w:szCs w:val="22"/>
          <w:lang w:bidi="ar-SA"/>
        </w:rPr>
        <w:t>thermomycolin</w:t>
      </w:r>
      <w:r w:rsidR="009D49D7" w:rsidRPr="006577E0">
        <w:rPr>
          <w:rFonts w:eastAsia="Calibri" w:cs="Arial"/>
          <w:szCs w:val="22"/>
          <w:lang w:bidi="ar-SA"/>
        </w:rPr>
        <w:t xml:space="preserve"> </w:t>
      </w:r>
      <w:r w:rsidR="009D49D7" w:rsidRPr="00DE2523">
        <w:rPr>
          <w:lang w:val="en-AU" w:eastAsia="en-AU" w:bidi="ar-SA"/>
        </w:rPr>
        <w:t xml:space="preserve">produced using </w:t>
      </w:r>
      <w:r w:rsidR="009D49D7">
        <w:rPr>
          <w:i/>
          <w:lang w:val="en-AU" w:eastAsia="en-AU" w:bidi="ar-SA"/>
        </w:rPr>
        <w:t>T. rees</w:t>
      </w:r>
      <w:r w:rsidR="009D49D7" w:rsidRPr="00DE2523">
        <w:rPr>
          <w:i/>
          <w:lang w:val="en-AU" w:eastAsia="en-AU" w:bidi="ar-SA"/>
        </w:rPr>
        <w:t>ei</w:t>
      </w:r>
      <w:r w:rsidR="009D49D7">
        <w:rPr>
          <w:lang w:val="en-AU" w:eastAsia="en-AU" w:bidi="ar-SA"/>
        </w:rPr>
        <w:t xml:space="preserve"> </w:t>
      </w:r>
      <w:r w:rsidR="009D49D7" w:rsidRPr="00E43AED">
        <w:rPr>
          <w:lang w:val="en-AU" w:eastAsia="en-AU" w:bidi="ar-SA"/>
        </w:rPr>
        <w:t>in Denmark and</w:t>
      </w:r>
      <w:r w:rsidR="009D49D7">
        <w:rPr>
          <w:lang w:val="en-AU" w:eastAsia="en-AU" w:bidi="ar-SA"/>
        </w:rPr>
        <w:t xml:space="preserve"> France were </w:t>
      </w:r>
      <w:r w:rsidR="009D49D7" w:rsidRPr="00E43AED">
        <w:rPr>
          <w:lang w:val="en-AU" w:eastAsia="en-AU" w:bidi="ar-SA"/>
        </w:rPr>
        <w:t xml:space="preserve">provided by the applicant. </w:t>
      </w:r>
      <w:r w:rsidR="009D49D7">
        <w:rPr>
          <w:lang w:eastAsia="en-AU" w:bidi="ar-SA"/>
        </w:rPr>
        <w:t xml:space="preserve">These approvals were not accompanied by written assessments. </w:t>
      </w:r>
      <w:r w:rsidR="009D49D7" w:rsidRPr="00E43AED">
        <w:rPr>
          <w:lang w:val="en-AU" w:eastAsia="en-AU" w:bidi="ar-SA"/>
        </w:rPr>
        <w:t>The enzyme is</w:t>
      </w:r>
      <w:r w:rsidR="009D49D7">
        <w:rPr>
          <w:lang w:val="en-AU" w:eastAsia="en-AU" w:bidi="ar-SA"/>
        </w:rPr>
        <w:t xml:space="preserve"> also</w:t>
      </w:r>
      <w:r w:rsidR="009D49D7" w:rsidRPr="00E43AED">
        <w:rPr>
          <w:lang w:val="en-AU" w:eastAsia="en-AU" w:bidi="ar-SA"/>
        </w:rPr>
        <w:t xml:space="preserve"> approved for use in Canada, USA, Brazil and Mexico.</w:t>
      </w:r>
    </w:p>
    <w:p w14:paraId="49F6B69B" w14:textId="77777777" w:rsidR="009D49D7" w:rsidRPr="00E43AED" w:rsidRDefault="009D49D7" w:rsidP="009D49D7">
      <w:pPr>
        <w:rPr>
          <w:lang w:val="en-AU" w:eastAsia="en-AU" w:bidi="ar-SA"/>
        </w:rPr>
      </w:pPr>
    </w:p>
    <w:p w14:paraId="331FC6A0" w14:textId="136F9B81" w:rsidR="00C02E56" w:rsidRDefault="0082732B" w:rsidP="0023678E">
      <w:pPr>
        <w:rPr>
          <w:rFonts w:cs="Arial"/>
          <w:b/>
          <w:bCs/>
          <w:sz w:val="28"/>
          <w:szCs w:val="22"/>
          <w:lang w:bidi="ar-SA"/>
        </w:rPr>
      </w:pPr>
      <w:r>
        <w:rPr>
          <w:rFonts w:eastAsia="Calibri" w:cs="Arial"/>
          <w:szCs w:val="22"/>
          <w:lang w:bidi="ar-SA"/>
        </w:rPr>
        <w:t>The US FDA has responded with a ‘no questions’ letter to a self-assessment that t</w:t>
      </w:r>
      <w:r w:rsidRPr="006577E0">
        <w:rPr>
          <w:rFonts w:eastAsia="Calibri" w:cs="Arial"/>
          <w:szCs w:val="22"/>
          <w:lang w:bidi="ar-SA"/>
        </w:rPr>
        <w:t xml:space="preserve">hermomycolin </w:t>
      </w:r>
      <w:r w:rsidR="009D49D7" w:rsidRPr="00E43AED">
        <w:rPr>
          <w:lang w:val="en-AU" w:eastAsia="en-AU" w:bidi="ar-SA"/>
        </w:rPr>
        <w:t xml:space="preserve">produced using </w:t>
      </w:r>
      <w:r w:rsidR="009D49D7" w:rsidRPr="00E43AED">
        <w:rPr>
          <w:i/>
          <w:lang w:val="en-AU" w:eastAsia="en-AU" w:bidi="ar-SA"/>
        </w:rPr>
        <w:t>T. ree</w:t>
      </w:r>
      <w:r w:rsidR="009D49D7">
        <w:rPr>
          <w:i/>
          <w:lang w:val="en-AU" w:eastAsia="en-AU" w:bidi="ar-SA"/>
        </w:rPr>
        <w:t>s</w:t>
      </w:r>
      <w:r w:rsidR="009D49D7" w:rsidRPr="00E43AED">
        <w:rPr>
          <w:i/>
          <w:lang w:val="en-AU" w:eastAsia="en-AU" w:bidi="ar-SA"/>
        </w:rPr>
        <w:t>ei</w:t>
      </w:r>
      <w:r w:rsidR="009D49D7" w:rsidRPr="00E43AED">
        <w:rPr>
          <w:lang w:val="en-AU" w:eastAsia="en-AU" w:bidi="ar-SA"/>
        </w:rPr>
        <w:t xml:space="preserve"> is generally recognised as safe (GRAS) in the USA</w:t>
      </w:r>
      <w:r w:rsidR="009D49D7">
        <w:rPr>
          <w:lang w:val="en-AU" w:eastAsia="en-AU" w:bidi="ar-SA"/>
        </w:rPr>
        <w:t xml:space="preserve"> </w:t>
      </w:r>
      <w:r w:rsidR="009D49D7" w:rsidRPr="00E43AED">
        <w:rPr>
          <w:lang w:val="en-AU" w:eastAsia="en-AU" w:bidi="ar-SA"/>
        </w:rPr>
        <w:t xml:space="preserve">(GRN 817). A GRAS </w:t>
      </w:r>
      <w:r w:rsidR="009D49D7">
        <w:rPr>
          <w:lang w:val="en-AU" w:eastAsia="en-AU" w:bidi="ar-SA"/>
        </w:rPr>
        <w:t>notification</w:t>
      </w:r>
      <w:r w:rsidR="009D49D7" w:rsidRPr="00E43AED">
        <w:rPr>
          <w:lang w:val="en-AU" w:eastAsia="en-AU" w:bidi="ar-SA"/>
        </w:rPr>
        <w:t xml:space="preserve"> is not accepted by FSANZ as an assessment by the FDA.</w:t>
      </w:r>
    </w:p>
    <w:p w14:paraId="09D209E4" w14:textId="6BFBBA1C" w:rsidR="001D1FB4" w:rsidRPr="001D1FB4" w:rsidRDefault="001D1FB4" w:rsidP="00D44D29">
      <w:pPr>
        <w:pStyle w:val="Heading2"/>
        <w:rPr>
          <w:b w:val="0"/>
          <w:bCs w:val="0"/>
        </w:rPr>
      </w:pPr>
      <w:bookmarkStart w:id="149" w:name="_Toc97107445"/>
      <w:bookmarkStart w:id="150" w:name="_Toc101521540"/>
      <w:r w:rsidRPr="00D44D29">
        <w:t>3.4</w:t>
      </w:r>
      <w:r w:rsidRPr="00D44D29">
        <w:tab/>
        <w:t>Dietary exposure assessment</w:t>
      </w:r>
      <w:bookmarkEnd w:id="149"/>
      <w:bookmarkEnd w:id="150"/>
    </w:p>
    <w:p w14:paraId="59D22A6C" w14:textId="034A9502" w:rsidR="001D1FB4" w:rsidRPr="001D1FB4" w:rsidRDefault="001D1FB4" w:rsidP="00C02E56">
      <w:pPr>
        <w:rPr>
          <w:szCs w:val="22"/>
        </w:rPr>
      </w:pPr>
      <w:r w:rsidRPr="001D1FB4">
        <w:rPr>
          <w:szCs w:val="22"/>
        </w:rPr>
        <w:t xml:space="preserve">The objective of the dietary exposure assessment was to review the budget method calculation presented by the applicant as a ‘worse-case scenario’ approach to estimating likely levels </w:t>
      </w:r>
      <w:r w:rsidRPr="001D1FB4">
        <w:rPr>
          <w:lang w:val="en-AU" w:eastAsia="en-AU"/>
        </w:rPr>
        <w:t>of</w:t>
      </w:r>
      <w:r w:rsidRPr="001D1FB4">
        <w:rPr>
          <w:szCs w:val="22"/>
        </w:rPr>
        <w:t xml:space="preserve"> dietary exposure assuming all added </w:t>
      </w:r>
      <w:r w:rsidR="00F2541C" w:rsidRPr="00F2541C">
        <w:rPr>
          <w:bCs/>
          <w:iCs/>
          <w:szCs w:val="20"/>
        </w:rPr>
        <w:t>thermomycolin</w:t>
      </w:r>
      <w:r w:rsidR="00C02E56" w:rsidRPr="00C02E56">
        <w:rPr>
          <w:bCs/>
          <w:iCs/>
          <w:szCs w:val="20"/>
        </w:rPr>
        <w:t xml:space="preserve"> enzyme from GM </w:t>
      </w:r>
      <w:r w:rsidR="00C02E56" w:rsidRPr="00C02E56">
        <w:rPr>
          <w:bCs/>
          <w:i/>
          <w:iCs/>
          <w:szCs w:val="20"/>
        </w:rPr>
        <w:t>Trichoderma reesei</w:t>
      </w:r>
      <w:r w:rsidR="00C02E56" w:rsidRPr="00C02E56">
        <w:rPr>
          <w:szCs w:val="20"/>
        </w:rPr>
        <w:t xml:space="preserve"> </w:t>
      </w:r>
      <w:r w:rsidRPr="001D1FB4">
        <w:rPr>
          <w:szCs w:val="22"/>
        </w:rPr>
        <w:t>remained in the food.</w:t>
      </w:r>
    </w:p>
    <w:p w14:paraId="50BE7366" w14:textId="1B08548A" w:rsidR="000039C3" w:rsidRPr="005D1355" w:rsidRDefault="000039C3" w:rsidP="000039C3">
      <w:pPr>
        <w:rPr>
          <w:szCs w:val="22"/>
        </w:rPr>
      </w:pPr>
    </w:p>
    <w:p w14:paraId="6D43CAC5" w14:textId="77777777" w:rsidR="00F2541C" w:rsidRDefault="00F2541C">
      <w:pPr>
        <w:widowControl/>
        <w:rPr>
          <w:szCs w:val="22"/>
        </w:rPr>
      </w:pPr>
      <w:r>
        <w:rPr>
          <w:szCs w:val="22"/>
        </w:rPr>
        <w:br w:type="page"/>
      </w:r>
    </w:p>
    <w:p w14:paraId="355DEC71" w14:textId="3A19078F" w:rsidR="000039C3" w:rsidRPr="005D1355" w:rsidRDefault="000039C3" w:rsidP="00DE51CD">
      <w:pPr>
        <w:rPr>
          <w:szCs w:val="22"/>
        </w:rPr>
      </w:pPr>
      <w:r w:rsidRPr="005D1355">
        <w:rPr>
          <w:szCs w:val="22"/>
        </w:rPr>
        <w:lastRenderedPageBreak/>
        <w:t xml:space="preserve">The budget method is a valid screening tool for estimating the theoretical maximum daily intake (TMDI) of a food additive (Douglass </w:t>
      </w:r>
      <w:r w:rsidRPr="005D1355">
        <w:rPr>
          <w:i/>
          <w:szCs w:val="22"/>
        </w:rPr>
        <w:t>et al.,</w:t>
      </w:r>
      <w:r w:rsidRPr="005D1355">
        <w:rPr>
          <w:szCs w:val="22"/>
        </w:rPr>
        <w:t xml:space="preserve"> 1997). The calculation is based on physiological food and liquid requirements, the food additive concentration in foods and beverages, and the proportion of foods and beverages that may contain the food additive. The TMDI can then be compared to an </w:t>
      </w:r>
      <w:r w:rsidR="00306ECD">
        <w:rPr>
          <w:szCs w:val="22"/>
        </w:rPr>
        <w:t>acceptable daily intake (</w:t>
      </w:r>
      <w:r w:rsidRPr="005D1355">
        <w:rPr>
          <w:szCs w:val="22"/>
        </w:rPr>
        <w:t>ADI</w:t>
      </w:r>
      <w:r w:rsidR="00306ECD">
        <w:rPr>
          <w:szCs w:val="22"/>
        </w:rPr>
        <w:t>)</w:t>
      </w:r>
      <w:r w:rsidRPr="005D1355">
        <w:rPr>
          <w:szCs w:val="22"/>
        </w:rPr>
        <w:t xml:space="preserve"> or a NOAEL to estimate a margin of exposure for risk characterisation purposes. </w:t>
      </w:r>
    </w:p>
    <w:p w14:paraId="6F448377" w14:textId="77777777" w:rsidR="000039C3" w:rsidRPr="005D1355" w:rsidRDefault="000039C3" w:rsidP="000039C3">
      <w:pPr>
        <w:rPr>
          <w:szCs w:val="22"/>
        </w:rPr>
      </w:pPr>
    </w:p>
    <w:p w14:paraId="327452F5" w14:textId="77777777" w:rsidR="000039C3" w:rsidRPr="005D1355" w:rsidRDefault="000039C3" w:rsidP="000039C3">
      <w:pPr>
        <w:rPr>
          <w:szCs w:val="22"/>
        </w:rPr>
      </w:pPr>
      <w:r w:rsidRPr="005D1355">
        <w:rPr>
          <w:szCs w:val="22"/>
        </w:rPr>
        <w:t>In their budget method calculation, the applicant made the following assumptions:</w:t>
      </w:r>
    </w:p>
    <w:p w14:paraId="339F5C0B" w14:textId="77777777" w:rsidR="000039C3" w:rsidRPr="005D1355" w:rsidRDefault="000039C3" w:rsidP="000039C3">
      <w:pPr>
        <w:rPr>
          <w:szCs w:val="22"/>
        </w:rPr>
      </w:pPr>
    </w:p>
    <w:p w14:paraId="039AE013" w14:textId="77777777" w:rsidR="000039C3" w:rsidRPr="005D1355" w:rsidRDefault="000039C3" w:rsidP="000039C3">
      <w:pPr>
        <w:pStyle w:val="FSBullet1"/>
        <w:ind w:left="502" w:hanging="360"/>
        <w:rPr>
          <w:szCs w:val="22"/>
        </w:rPr>
      </w:pPr>
      <w:r w:rsidRPr="005D1355">
        <w:rPr>
          <w:szCs w:val="22"/>
        </w:rPr>
        <w:t>the maximum physiological requirement of solid foods (including milk) is 25 g/kg body weight/day</w:t>
      </w:r>
    </w:p>
    <w:p w14:paraId="6792F6B7" w14:textId="77777777" w:rsidR="000039C3" w:rsidRDefault="000039C3" w:rsidP="000039C3">
      <w:pPr>
        <w:pStyle w:val="FSBullet1"/>
        <w:ind w:left="502" w:hanging="360"/>
        <w:rPr>
          <w:szCs w:val="22"/>
        </w:rPr>
      </w:pPr>
      <w:r w:rsidRPr="005D1355">
        <w:rPr>
          <w:szCs w:val="22"/>
        </w:rPr>
        <w:t>the maximum physiological requirement for non-milk beverages is 100 mL/kg body weight/day (the standard level used in a budget method calculation)</w:t>
      </w:r>
    </w:p>
    <w:p w14:paraId="0C0FC511" w14:textId="6772149B" w:rsidR="000039C3" w:rsidRPr="005E14A1" w:rsidRDefault="000039C3" w:rsidP="000039C3">
      <w:pPr>
        <w:pStyle w:val="ListParagraph"/>
        <w:numPr>
          <w:ilvl w:val="0"/>
          <w:numId w:val="1"/>
        </w:numPr>
        <w:autoSpaceDE w:val="0"/>
        <w:autoSpaceDN w:val="0"/>
        <w:adjustRightInd w:val="0"/>
        <w:rPr>
          <w:rFonts w:eastAsia="ArialMT" w:cs="Arial"/>
          <w:szCs w:val="22"/>
        </w:rPr>
      </w:pPr>
      <w:r w:rsidRPr="005E14A1">
        <w:rPr>
          <w:rFonts w:eastAsia="ArialMT" w:cs="Arial"/>
        </w:rPr>
        <w:t xml:space="preserve">50% of solid food and 25% of non-milk beverages contain </w:t>
      </w:r>
      <w:r w:rsidR="00F2541C" w:rsidRPr="00F2541C">
        <w:rPr>
          <w:szCs w:val="22"/>
        </w:rPr>
        <w:t>thermomycolin</w:t>
      </w:r>
    </w:p>
    <w:p w14:paraId="5407D6F2" w14:textId="3EC9D3D4" w:rsidR="000039C3" w:rsidRPr="005D1355" w:rsidRDefault="000039C3" w:rsidP="00F2541C">
      <w:pPr>
        <w:pStyle w:val="FSBullet1"/>
      </w:pPr>
      <w:r w:rsidRPr="005D1355">
        <w:t xml:space="preserve">the maximum </w:t>
      </w:r>
      <w:r w:rsidR="00F2541C" w:rsidRPr="00F2541C">
        <w:rPr>
          <w:szCs w:val="22"/>
        </w:rPr>
        <w:t>thermomycolin</w:t>
      </w:r>
      <w:r w:rsidRPr="005D1355">
        <w:t xml:space="preserve"> level in both final solid</w:t>
      </w:r>
      <w:r>
        <w:t xml:space="preserve"> food and non-milk beverage was 1.7</w:t>
      </w:r>
      <w:r w:rsidRPr="005D1355">
        <w:t xml:space="preserve"> mg TOS/kg food (i.e. the highest use level from all uses within each group)</w:t>
      </w:r>
    </w:p>
    <w:p w14:paraId="4BCDDD7A" w14:textId="77777777" w:rsidR="000039C3" w:rsidRPr="005D1355" w:rsidRDefault="000039C3" w:rsidP="000039C3">
      <w:pPr>
        <w:pStyle w:val="FSBullet1"/>
        <w:ind w:left="502" w:hanging="360"/>
        <w:rPr>
          <w:szCs w:val="22"/>
        </w:rPr>
      </w:pPr>
      <w:r w:rsidRPr="005D1355">
        <w:rPr>
          <w:szCs w:val="22"/>
        </w:rPr>
        <w:t>all of the enzyme remains in the final food.</w:t>
      </w:r>
    </w:p>
    <w:p w14:paraId="33B669D0" w14:textId="77777777" w:rsidR="000039C3" w:rsidRPr="005D1355" w:rsidRDefault="000039C3" w:rsidP="000039C3">
      <w:pPr>
        <w:rPr>
          <w:szCs w:val="22"/>
          <w:lang w:val="en-AU"/>
        </w:rPr>
      </w:pPr>
    </w:p>
    <w:p w14:paraId="780617E4" w14:textId="4F92DF2E" w:rsidR="000039C3" w:rsidRDefault="000039C3" w:rsidP="000039C3">
      <w:pPr>
        <w:rPr>
          <w:szCs w:val="22"/>
          <w:lang w:val="en-AU"/>
        </w:rPr>
      </w:pPr>
      <w:r w:rsidRPr="005D1355">
        <w:rPr>
          <w:szCs w:val="22"/>
          <w:lang w:val="en-AU"/>
        </w:rPr>
        <w:t>Based on these assumptions, t</w:t>
      </w:r>
      <w:r w:rsidRPr="005D1355">
        <w:rPr>
          <w:szCs w:val="22"/>
        </w:rPr>
        <w:t xml:space="preserve">he applicant </w:t>
      </w:r>
      <w:r w:rsidRPr="005D1355">
        <w:rPr>
          <w:szCs w:val="22"/>
          <w:lang w:val="en-AU"/>
        </w:rPr>
        <w:t xml:space="preserve">calculated the TMDI of </w:t>
      </w:r>
      <w:r w:rsidR="00F2541C" w:rsidRPr="00F2541C">
        <w:rPr>
          <w:szCs w:val="22"/>
        </w:rPr>
        <w:t>thermomycolin</w:t>
      </w:r>
      <w:r w:rsidRPr="005D1355">
        <w:rPr>
          <w:szCs w:val="22"/>
        </w:rPr>
        <w:t xml:space="preserve"> </w:t>
      </w:r>
      <w:r w:rsidRPr="005D1355">
        <w:rPr>
          <w:szCs w:val="22"/>
          <w:lang w:val="en-AU"/>
        </w:rPr>
        <w:t xml:space="preserve">to be </w:t>
      </w:r>
      <w:r>
        <w:rPr>
          <w:szCs w:val="22"/>
          <w:lang w:val="en-AU"/>
        </w:rPr>
        <w:t>0.064</w:t>
      </w:r>
      <w:r w:rsidRPr="005D1355">
        <w:rPr>
          <w:szCs w:val="22"/>
          <w:lang w:val="en-AU"/>
        </w:rPr>
        <w:t xml:space="preserve"> mg TOS/kg body weight/day.</w:t>
      </w:r>
    </w:p>
    <w:p w14:paraId="1CCF8309" w14:textId="77777777" w:rsidR="000039C3" w:rsidRPr="005D1355" w:rsidRDefault="000039C3" w:rsidP="000039C3">
      <w:pPr>
        <w:rPr>
          <w:szCs w:val="22"/>
          <w:lang w:val="en-AU"/>
        </w:rPr>
      </w:pPr>
    </w:p>
    <w:p w14:paraId="5FE2B7D3" w14:textId="392AC058" w:rsidR="000039C3" w:rsidRPr="00712A63" w:rsidRDefault="000039C3" w:rsidP="000039C3">
      <w:pPr>
        <w:autoSpaceDE w:val="0"/>
        <w:autoSpaceDN w:val="0"/>
        <w:adjustRightInd w:val="0"/>
        <w:rPr>
          <w:rFonts w:eastAsia="ArialMT" w:cs="Arial"/>
          <w:szCs w:val="22"/>
        </w:rPr>
      </w:pPr>
      <w:r w:rsidRPr="00712A63">
        <w:rPr>
          <w:rFonts w:eastAsia="ArialMT" w:cs="Arial"/>
        </w:rPr>
        <w:t>As assumptions made by the applicant differ to thos</w:t>
      </w:r>
      <w:r>
        <w:rPr>
          <w:rFonts w:eastAsia="ArialMT" w:cs="Arial"/>
        </w:rPr>
        <w:t xml:space="preserve">e that FSANZ would have made in </w:t>
      </w:r>
      <w:r w:rsidRPr="00712A63">
        <w:rPr>
          <w:rFonts w:eastAsia="ArialMT" w:cs="Arial"/>
        </w:rPr>
        <w:t>applying the budget method, FSANZ independently calculat</w:t>
      </w:r>
      <w:r w:rsidR="00C90221">
        <w:rPr>
          <w:rFonts w:eastAsia="ArialMT" w:cs="Arial"/>
        </w:rPr>
        <w:t>ed the TMDI</w:t>
      </w:r>
      <w:r>
        <w:rPr>
          <w:rFonts w:eastAsia="ArialMT" w:cs="Arial"/>
        </w:rPr>
        <w:t xml:space="preserve"> using the following </w:t>
      </w:r>
      <w:r w:rsidRPr="00712A63">
        <w:rPr>
          <w:rFonts w:eastAsia="ArialMT" w:cs="Arial"/>
        </w:rPr>
        <w:t>different assumptions that are conservative and reflective of a f</w:t>
      </w:r>
      <w:r>
        <w:rPr>
          <w:rFonts w:eastAsia="ArialMT" w:cs="Arial"/>
        </w:rPr>
        <w:t xml:space="preserve">irst tier in estimating dietary </w:t>
      </w:r>
      <w:r w:rsidRPr="00712A63">
        <w:rPr>
          <w:rFonts w:eastAsia="ArialMT" w:cs="Arial"/>
        </w:rPr>
        <w:t>exposure:</w:t>
      </w:r>
    </w:p>
    <w:p w14:paraId="17B30567" w14:textId="77777777" w:rsidR="000039C3" w:rsidRPr="005D1355" w:rsidRDefault="000039C3" w:rsidP="000039C3">
      <w:pPr>
        <w:rPr>
          <w:szCs w:val="22"/>
        </w:rPr>
      </w:pPr>
    </w:p>
    <w:p w14:paraId="49E2FB89" w14:textId="53BC6407" w:rsidR="000039C3" w:rsidRDefault="000039C3" w:rsidP="005E71C7">
      <w:pPr>
        <w:pStyle w:val="FSBullet1"/>
        <w:ind w:left="499" w:hanging="357"/>
        <w:rPr>
          <w:szCs w:val="22"/>
        </w:rPr>
      </w:pPr>
      <w:r w:rsidRPr="005D1355">
        <w:rPr>
          <w:szCs w:val="22"/>
        </w:rPr>
        <w:t>the maximum physiological requirement for solid food (including milk) is 50 g/kg body weight/day. This is the standard level used in a budget method calculation where there is potential for the enzyme to be in baby foods or general purpose foods that would be consumed by infants</w:t>
      </w:r>
      <w:r w:rsidR="008978E6">
        <w:rPr>
          <w:szCs w:val="22"/>
        </w:rPr>
        <w:t xml:space="preserve"> </w:t>
      </w:r>
      <w:r w:rsidR="008978E6" w:rsidRPr="005D1355">
        <w:rPr>
          <w:szCs w:val="22"/>
        </w:rPr>
        <w:t>(FAO/WHO, 2009</w:t>
      </w:r>
      <w:r w:rsidR="008978E6">
        <w:rPr>
          <w:szCs w:val="22"/>
        </w:rPr>
        <w:t>b</w:t>
      </w:r>
      <w:r w:rsidR="008978E6" w:rsidRPr="005D1355">
        <w:rPr>
          <w:szCs w:val="22"/>
        </w:rPr>
        <w:t>)</w:t>
      </w:r>
      <w:r w:rsidRPr="005D1355">
        <w:rPr>
          <w:szCs w:val="22"/>
        </w:rPr>
        <w:t xml:space="preserve">, which for this enzyme would be from the </w:t>
      </w:r>
      <w:r>
        <w:rPr>
          <w:szCs w:val="22"/>
        </w:rPr>
        <w:t xml:space="preserve">products containing </w:t>
      </w:r>
      <w:r w:rsidR="000B080F">
        <w:rPr>
          <w:szCs w:val="22"/>
        </w:rPr>
        <w:t>gelatine</w:t>
      </w:r>
      <w:r w:rsidRPr="00533EE6">
        <w:rPr>
          <w:szCs w:val="22"/>
        </w:rPr>
        <w:t xml:space="preserve"> (dairy products, confectionary and </w:t>
      </w:r>
      <w:r w:rsidR="000B080F">
        <w:rPr>
          <w:szCs w:val="22"/>
        </w:rPr>
        <w:t>gelatine</w:t>
      </w:r>
      <w:r w:rsidRPr="00533EE6">
        <w:rPr>
          <w:szCs w:val="22"/>
        </w:rPr>
        <w:t xml:space="preserve"> desserts) and other animal protein hydrolysates</w:t>
      </w:r>
      <w:r w:rsidRPr="005D1355">
        <w:rPr>
          <w:szCs w:val="22"/>
        </w:rPr>
        <w:t>.</w:t>
      </w:r>
    </w:p>
    <w:p w14:paraId="23D89CAD" w14:textId="4E8938E4" w:rsidR="000039C3" w:rsidRPr="00D02167" w:rsidRDefault="000039C3" w:rsidP="000039C3">
      <w:pPr>
        <w:pStyle w:val="ListParagraph"/>
        <w:numPr>
          <w:ilvl w:val="0"/>
          <w:numId w:val="1"/>
        </w:numPr>
        <w:autoSpaceDE w:val="0"/>
        <w:autoSpaceDN w:val="0"/>
        <w:adjustRightInd w:val="0"/>
        <w:rPr>
          <w:rFonts w:eastAsia="ArialMT" w:cs="Arial"/>
          <w:szCs w:val="22"/>
        </w:rPr>
      </w:pPr>
      <w:r w:rsidRPr="00D02167">
        <w:rPr>
          <w:rFonts w:eastAsia="ArialMT" w:cs="Arial"/>
          <w:szCs w:val="22"/>
        </w:rPr>
        <w:t>FSANZ would generally assume 12.5% of solid foods contain the enzyme based on</w:t>
      </w:r>
      <w:r>
        <w:rPr>
          <w:rFonts w:eastAsia="ArialMT" w:cs="Arial"/>
          <w:szCs w:val="22"/>
        </w:rPr>
        <w:t xml:space="preserve"> </w:t>
      </w:r>
      <w:r w:rsidRPr="00D02167">
        <w:rPr>
          <w:rFonts w:eastAsia="ArialMT" w:cs="Arial"/>
          <w:szCs w:val="22"/>
        </w:rPr>
        <w:t>commonly used default proportions noted in the FAO/WHO Environmental Health</w:t>
      </w:r>
      <w:r>
        <w:rPr>
          <w:rFonts w:eastAsia="ArialMT" w:cs="Arial"/>
          <w:szCs w:val="22"/>
        </w:rPr>
        <w:t xml:space="preserve"> </w:t>
      </w:r>
      <w:r w:rsidRPr="00D02167">
        <w:rPr>
          <w:rFonts w:eastAsia="ArialMT" w:cs="Arial"/>
          <w:szCs w:val="22"/>
        </w:rPr>
        <w:t>Criteria (EHC) 240 Chapter 6 on dietary exposure assessment (FAO/WHO 2009</w:t>
      </w:r>
      <w:r w:rsidR="00B61E11">
        <w:rPr>
          <w:rFonts w:eastAsia="ArialMT" w:cs="Arial"/>
          <w:szCs w:val="22"/>
        </w:rPr>
        <w:t>b</w:t>
      </w:r>
      <w:r w:rsidRPr="00D02167">
        <w:rPr>
          <w:rFonts w:eastAsia="ArialMT" w:cs="Arial"/>
          <w:szCs w:val="22"/>
        </w:rPr>
        <w:t>).</w:t>
      </w:r>
      <w:r>
        <w:rPr>
          <w:rFonts w:eastAsia="ArialMT" w:cs="Arial"/>
          <w:szCs w:val="22"/>
        </w:rPr>
        <w:t xml:space="preserve"> </w:t>
      </w:r>
      <w:r w:rsidRPr="00D02167">
        <w:rPr>
          <w:rFonts w:eastAsia="ArialMT" w:cs="Arial"/>
          <w:szCs w:val="22"/>
        </w:rPr>
        <w:t>However the applicant has assumed a higher proportion of 50% based on the nature</w:t>
      </w:r>
      <w:r>
        <w:rPr>
          <w:rFonts w:eastAsia="ArialMT" w:cs="Arial"/>
          <w:szCs w:val="22"/>
        </w:rPr>
        <w:t xml:space="preserve"> </w:t>
      </w:r>
      <w:r w:rsidRPr="00D02167">
        <w:rPr>
          <w:rFonts w:eastAsia="ArialMT" w:cs="Arial"/>
          <w:szCs w:val="22"/>
        </w:rPr>
        <w:t>and extent of use of the enzyme and therefore FSANZ has also used this proportion as</w:t>
      </w:r>
      <w:r>
        <w:rPr>
          <w:rFonts w:eastAsia="ArialMT" w:cs="Arial"/>
          <w:szCs w:val="22"/>
        </w:rPr>
        <w:t xml:space="preserve"> </w:t>
      </w:r>
      <w:r w:rsidRPr="00D02167">
        <w:rPr>
          <w:rFonts w:eastAsia="ArialMT" w:cs="Arial"/>
          <w:szCs w:val="22"/>
        </w:rPr>
        <w:t>a worst case scenario.</w:t>
      </w:r>
    </w:p>
    <w:p w14:paraId="47FF4D86" w14:textId="77777777" w:rsidR="000039C3" w:rsidRPr="005D1355" w:rsidRDefault="000039C3" w:rsidP="000039C3">
      <w:pPr>
        <w:pStyle w:val="FSBullet2"/>
        <w:numPr>
          <w:ilvl w:val="0"/>
          <w:numId w:val="0"/>
        </w:numPr>
      </w:pPr>
    </w:p>
    <w:p w14:paraId="284DDBC2" w14:textId="56AAB91A" w:rsidR="000039C3" w:rsidRPr="005D1355" w:rsidRDefault="000039C3" w:rsidP="000039C3">
      <w:pPr>
        <w:pStyle w:val="FSBullet2"/>
        <w:numPr>
          <w:ilvl w:val="0"/>
          <w:numId w:val="0"/>
        </w:numPr>
      </w:pPr>
      <w:r w:rsidRPr="005D1355">
        <w:t xml:space="preserve">All other inputs and assumptions used by FSANZ remained as per those used by the applicant. The </w:t>
      </w:r>
      <w:r w:rsidR="004F0A5F">
        <w:t>TMDI</w:t>
      </w:r>
      <w:r w:rsidRPr="005D1355">
        <w:t xml:space="preserve"> based on FSANZ’s calculations for </w:t>
      </w:r>
      <w:r>
        <w:t xml:space="preserve">both </w:t>
      </w:r>
      <w:r w:rsidRPr="005D1355">
        <w:t xml:space="preserve">solid food and non-milk beverages </w:t>
      </w:r>
      <w:r>
        <w:t xml:space="preserve">was 0.0425 </w:t>
      </w:r>
      <w:r w:rsidRPr="005D1355">
        <w:t>mg TOS/kg body weight/day</w:t>
      </w:r>
      <w:r>
        <w:t xml:space="preserve"> </w:t>
      </w:r>
      <w:r w:rsidR="00584CB0">
        <w:t xml:space="preserve">each </w:t>
      </w:r>
      <w:r>
        <w:t xml:space="preserve">resulting in </w:t>
      </w:r>
      <w:r w:rsidRPr="005D1355">
        <w:t xml:space="preserve">a total of </w:t>
      </w:r>
      <w:r>
        <w:t>0.085</w:t>
      </w:r>
      <w:r w:rsidRPr="005D1355">
        <w:t xml:space="preserve">mg TOS/kg bw/day. </w:t>
      </w:r>
    </w:p>
    <w:p w14:paraId="4DF45F4B" w14:textId="77777777" w:rsidR="000039C3" w:rsidRPr="005D1355" w:rsidRDefault="000039C3" w:rsidP="000039C3">
      <w:pPr>
        <w:pStyle w:val="FSBullet2"/>
        <w:numPr>
          <w:ilvl w:val="0"/>
          <w:numId w:val="0"/>
        </w:numPr>
      </w:pPr>
    </w:p>
    <w:p w14:paraId="0C075168" w14:textId="5692B8F6" w:rsidR="000039C3" w:rsidRPr="001D1FB4" w:rsidRDefault="000039C3" w:rsidP="00BE5F2A">
      <w:pPr>
        <w:pStyle w:val="FSBullet2"/>
        <w:numPr>
          <w:ilvl w:val="0"/>
          <w:numId w:val="0"/>
        </w:numPr>
      </w:pPr>
      <w:r w:rsidRPr="005D1355">
        <w:t xml:space="preserve">Both the FSANZ and applicants estimates of the TMDI will be overestimates of the dietary exposure given the conservatism </w:t>
      </w:r>
      <w:r w:rsidR="00B93E11">
        <w:t>of</w:t>
      </w:r>
      <w:r w:rsidRPr="005D1355">
        <w:t xml:space="preserve"> the budget method</w:t>
      </w:r>
      <w:r w:rsidR="00B93E11">
        <w:t>s</w:t>
      </w:r>
      <w:r w:rsidRPr="005D1355">
        <w:t xml:space="preserve">. This includes that it was assumed </w:t>
      </w:r>
      <w:r w:rsidRPr="00720FAE">
        <w:t>that the enzyme remains in the final foods and beverages</w:t>
      </w:r>
      <w:r w:rsidR="00584CB0">
        <w:t>.</w:t>
      </w:r>
      <w:r w:rsidRPr="00720FAE">
        <w:t xml:space="preserve"> </w:t>
      </w:r>
      <w:r w:rsidR="00584CB0">
        <w:t>T</w:t>
      </w:r>
      <w:r w:rsidRPr="00720FAE">
        <w:t xml:space="preserve">he applicant has stated that it is </w:t>
      </w:r>
      <w:r w:rsidRPr="00720FAE">
        <w:rPr>
          <w:rFonts w:cs="Arial"/>
        </w:rPr>
        <w:t>inactivated by heat in a specific inactivation step</w:t>
      </w:r>
      <w:r w:rsidR="00B93E11">
        <w:rPr>
          <w:rFonts w:cs="Arial"/>
        </w:rPr>
        <w:t xml:space="preserve">, </w:t>
      </w:r>
      <w:r w:rsidRPr="00720FAE">
        <w:rPr>
          <w:rFonts w:cs="Arial"/>
        </w:rPr>
        <w:t>in a sterilisation/pasteurization process or</w:t>
      </w:r>
      <w:r w:rsidR="00EC6171">
        <w:rPr>
          <w:rFonts w:cs="Arial"/>
        </w:rPr>
        <w:t xml:space="preserve"> during</w:t>
      </w:r>
      <w:r w:rsidRPr="00720FAE">
        <w:rPr>
          <w:rFonts w:cs="Arial"/>
        </w:rPr>
        <w:t xml:space="preserve"> further drying steps</w:t>
      </w:r>
      <w:r w:rsidR="00584CB0">
        <w:rPr>
          <w:rFonts w:cs="Arial"/>
        </w:rPr>
        <w:t xml:space="preserve"> and does not have a function in the final food</w:t>
      </w:r>
      <w:r w:rsidRPr="00720FAE">
        <w:rPr>
          <w:rFonts w:cs="Arial"/>
        </w:rPr>
        <w:t>.</w:t>
      </w:r>
      <w:r>
        <w:rPr>
          <w:rFonts w:cs="Arial"/>
          <w:sz w:val="20"/>
          <w:szCs w:val="20"/>
        </w:rPr>
        <w:t xml:space="preserve"> </w:t>
      </w:r>
    </w:p>
    <w:p w14:paraId="5501F346" w14:textId="77777777" w:rsidR="00C01354" w:rsidRDefault="00C01354">
      <w:pPr>
        <w:widowControl/>
        <w:rPr>
          <w:b/>
          <w:bCs/>
          <w:sz w:val="36"/>
          <w:szCs w:val="28"/>
          <w:lang w:val="en-AU" w:bidi="ar-SA"/>
        </w:rPr>
      </w:pPr>
      <w:bookmarkStart w:id="151" w:name="_Toc85204782"/>
      <w:bookmarkStart w:id="152" w:name="_Toc85211344"/>
      <w:bookmarkStart w:id="153" w:name="_Toc94535632"/>
      <w:bookmarkStart w:id="154" w:name="_Toc97107446"/>
      <w:bookmarkStart w:id="155" w:name="_Toc53473532"/>
      <w:r>
        <w:rPr>
          <w:lang w:val="en-AU"/>
        </w:rPr>
        <w:br w:type="page"/>
      </w:r>
    </w:p>
    <w:p w14:paraId="0CB5613C" w14:textId="538CA0CE" w:rsidR="0023678E" w:rsidRDefault="0023678E" w:rsidP="0023678E">
      <w:pPr>
        <w:pStyle w:val="Heading1"/>
        <w:tabs>
          <w:tab w:val="left" w:pos="5071"/>
        </w:tabs>
        <w:rPr>
          <w:lang w:val="en-AU"/>
        </w:rPr>
      </w:pPr>
      <w:bookmarkStart w:id="156" w:name="_Toc101521541"/>
      <w:r w:rsidRPr="0032484B">
        <w:rPr>
          <w:lang w:val="en-AU"/>
        </w:rPr>
        <w:lastRenderedPageBreak/>
        <w:t xml:space="preserve">4 </w:t>
      </w:r>
      <w:r w:rsidRPr="0032484B">
        <w:rPr>
          <w:lang w:val="en-AU"/>
        </w:rPr>
        <w:tab/>
        <w:t>Discussion</w:t>
      </w:r>
      <w:bookmarkEnd w:id="151"/>
      <w:bookmarkEnd w:id="152"/>
      <w:bookmarkEnd w:id="153"/>
      <w:bookmarkEnd w:id="154"/>
      <w:bookmarkEnd w:id="156"/>
    </w:p>
    <w:p w14:paraId="255FE582" w14:textId="4F89A902" w:rsidR="0023678E" w:rsidRPr="00B44780" w:rsidRDefault="0023678E" w:rsidP="0023678E">
      <w:pPr>
        <w:rPr>
          <w:lang w:val="en-AU"/>
        </w:rPr>
      </w:pPr>
      <w:r w:rsidRPr="00B44780">
        <w:rPr>
          <w:lang w:val="en-AU"/>
        </w:rPr>
        <w:t xml:space="preserve">No public health and safety concerns were identified in the assessment of </w:t>
      </w:r>
      <w:r w:rsidR="006C3825" w:rsidRPr="006577E0">
        <w:rPr>
          <w:rFonts w:eastAsia="Calibri" w:cs="Arial"/>
          <w:szCs w:val="22"/>
          <w:lang w:bidi="ar-SA"/>
        </w:rPr>
        <w:t>thermomycolin</w:t>
      </w:r>
      <w:r w:rsidRPr="006577E0">
        <w:rPr>
          <w:rFonts w:eastAsia="Calibri" w:cs="Arial"/>
          <w:szCs w:val="22"/>
          <w:lang w:bidi="ar-SA"/>
        </w:rPr>
        <w:t xml:space="preserve"> </w:t>
      </w:r>
      <w:r w:rsidRPr="00B44780">
        <w:rPr>
          <w:lang w:val="en-AU" w:eastAsia="en-AU" w:bidi="ar-SA"/>
        </w:rPr>
        <w:t xml:space="preserve">from a </w:t>
      </w:r>
      <w:r>
        <w:rPr>
          <w:lang w:val="en-AU"/>
        </w:rPr>
        <w:t>modified</w:t>
      </w:r>
      <w:r w:rsidRPr="00B44780">
        <w:rPr>
          <w:lang w:val="en-AU"/>
        </w:rPr>
        <w:t xml:space="preserve"> strain of </w:t>
      </w:r>
      <w:r w:rsidRPr="00B44780">
        <w:rPr>
          <w:i/>
          <w:lang w:val="en-AU"/>
        </w:rPr>
        <w:t>T. reesei</w:t>
      </w:r>
      <w:r w:rsidRPr="00B44780">
        <w:rPr>
          <w:lang w:val="en-AU"/>
        </w:rPr>
        <w:t xml:space="preserve"> under the proposed use conditions.</w:t>
      </w:r>
    </w:p>
    <w:p w14:paraId="6AF4743B" w14:textId="77777777" w:rsidR="0023678E" w:rsidRPr="00C01354" w:rsidRDefault="0023678E" w:rsidP="0023678E">
      <w:pPr>
        <w:rPr>
          <w:lang w:val="en-AU"/>
        </w:rPr>
      </w:pPr>
    </w:p>
    <w:p w14:paraId="3F1BEAA1" w14:textId="77777777" w:rsidR="0023678E" w:rsidRPr="00102BBA" w:rsidRDefault="0023678E" w:rsidP="0023678E">
      <w:pPr>
        <w:rPr>
          <w:lang w:val="en-AU"/>
        </w:rPr>
      </w:pPr>
      <w:r w:rsidRPr="00E211E4">
        <w:rPr>
          <w:color w:val="000000" w:themeColor="text1"/>
          <w:lang w:val="en-AU"/>
        </w:rPr>
        <w:t xml:space="preserve">The host is neither pathogenic nor toxigenic and </w:t>
      </w:r>
      <w:r w:rsidRPr="00102BBA">
        <w:rPr>
          <w:lang w:val="en-AU"/>
        </w:rPr>
        <w:t>analysis of the modified production strain confirmed the presence and stability of the inserted DNA.</w:t>
      </w:r>
    </w:p>
    <w:p w14:paraId="2D04EB3F" w14:textId="77777777" w:rsidR="0023678E" w:rsidRDefault="0023678E" w:rsidP="0023678E">
      <w:pPr>
        <w:rPr>
          <w:lang w:val="en-AU"/>
        </w:rPr>
      </w:pPr>
    </w:p>
    <w:p w14:paraId="30C191AD" w14:textId="2D8D3502" w:rsidR="0023678E" w:rsidRPr="00102672" w:rsidRDefault="0023678E" w:rsidP="0023678E">
      <w:pPr>
        <w:rPr>
          <w:lang w:val="en-AU"/>
        </w:rPr>
      </w:pPr>
      <w:r>
        <w:rPr>
          <w:lang w:val="en-AU"/>
        </w:rPr>
        <w:t>Toxicity testing</w:t>
      </w:r>
      <w:r w:rsidRPr="00B44780">
        <w:rPr>
          <w:lang w:val="en-AU"/>
        </w:rPr>
        <w:t xml:space="preserve"> of the enzyme showed no evidence of genotoxicity </w:t>
      </w:r>
      <w:r w:rsidRPr="00B44780">
        <w:rPr>
          <w:i/>
          <w:lang w:val="en-AU"/>
        </w:rPr>
        <w:t>in vitro</w:t>
      </w:r>
      <w:r w:rsidR="009B377C">
        <w:rPr>
          <w:lang w:val="en-AU"/>
        </w:rPr>
        <w:t>. T</w:t>
      </w:r>
      <w:r w:rsidRPr="00B44780">
        <w:rPr>
          <w:lang w:val="en-AU"/>
        </w:rPr>
        <w:t xml:space="preserve">he NOAEL in a 90-day oral gavage study in rats was 1000 mg/kg bw/day </w:t>
      </w:r>
      <w:r w:rsidR="000B19B3">
        <w:rPr>
          <w:lang w:val="en-AU"/>
        </w:rPr>
        <w:t>enzyme</w:t>
      </w:r>
      <w:r>
        <w:rPr>
          <w:lang w:val="en-AU"/>
        </w:rPr>
        <w:t>,</w:t>
      </w:r>
      <w:r w:rsidRPr="00B44780">
        <w:rPr>
          <w:lang w:val="en-AU"/>
        </w:rPr>
        <w:t xml:space="preserve"> </w:t>
      </w:r>
      <w:r>
        <w:rPr>
          <w:lang w:val="en-AU"/>
        </w:rPr>
        <w:t xml:space="preserve">which was </w:t>
      </w:r>
      <w:r w:rsidRPr="00B44780">
        <w:rPr>
          <w:lang w:val="en-AU"/>
        </w:rPr>
        <w:t>the highest dose tested</w:t>
      </w:r>
      <w:r>
        <w:rPr>
          <w:lang w:val="en-AU"/>
        </w:rPr>
        <w:t xml:space="preserve"> and i</w:t>
      </w:r>
      <w:r w:rsidRPr="00B44780">
        <w:rPr>
          <w:lang w:val="en-AU"/>
        </w:rPr>
        <w:t xml:space="preserve">s equivalent to </w:t>
      </w:r>
      <w:r w:rsidRPr="00DE2523">
        <w:rPr>
          <w:lang w:val="en-AU" w:eastAsia="en-AU" w:bidi="ar-SA"/>
        </w:rPr>
        <w:t xml:space="preserve">150 mg/kg bw/day </w:t>
      </w:r>
      <w:r w:rsidRPr="00B44780">
        <w:rPr>
          <w:lang w:val="en-AU"/>
        </w:rPr>
        <w:t>TOS</w:t>
      </w:r>
      <w:r w:rsidRPr="0023678E">
        <w:rPr>
          <w:lang w:val="en-AU"/>
        </w:rPr>
        <w:t>. The TMDI was calculated by the applicant to be 0.064 mg/kg bw/day TOS</w:t>
      </w:r>
      <w:r w:rsidR="006C3825">
        <w:rPr>
          <w:lang w:val="en-AU"/>
        </w:rPr>
        <w:t xml:space="preserve"> and independently</w:t>
      </w:r>
      <w:r w:rsidR="00102672">
        <w:rPr>
          <w:lang w:val="en-AU"/>
        </w:rPr>
        <w:t xml:space="preserve"> calculated by FSANZ to be 0.085</w:t>
      </w:r>
      <w:r w:rsidR="00102672" w:rsidRPr="00102672">
        <w:rPr>
          <w:lang w:val="en-AU"/>
        </w:rPr>
        <w:t xml:space="preserve"> mg/kg bw/day TOS. </w:t>
      </w:r>
      <w:r w:rsidRPr="00102672">
        <w:rPr>
          <w:lang w:val="en-AU"/>
        </w:rPr>
        <w:t>Comparison of the NOAEL and the TMDI</w:t>
      </w:r>
      <w:r w:rsidR="00102672" w:rsidRPr="00102672">
        <w:rPr>
          <w:lang w:val="en-AU"/>
        </w:rPr>
        <w:t>s</w:t>
      </w:r>
      <w:r w:rsidRPr="00102672">
        <w:rPr>
          <w:lang w:val="en-AU"/>
        </w:rPr>
        <w:t xml:space="preserve"> </w:t>
      </w:r>
      <w:r w:rsidR="00102672" w:rsidRPr="00102672">
        <w:rPr>
          <w:lang w:val="en-AU"/>
        </w:rPr>
        <w:t xml:space="preserve">calculated by the applicant and FSANZ </w:t>
      </w:r>
      <w:r w:rsidRPr="00102672">
        <w:rPr>
          <w:lang w:val="en-AU"/>
        </w:rPr>
        <w:t xml:space="preserve">gives a </w:t>
      </w:r>
      <w:r w:rsidR="00306ECD">
        <w:rPr>
          <w:lang w:val="en-AU"/>
        </w:rPr>
        <w:t>m</w:t>
      </w:r>
      <w:r w:rsidR="00306ECD" w:rsidRPr="00102672">
        <w:rPr>
          <w:lang w:val="en-AU"/>
        </w:rPr>
        <w:t xml:space="preserve">argin </w:t>
      </w:r>
      <w:r w:rsidRPr="00102672">
        <w:rPr>
          <w:lang w:val="en-AU"/>
        </w:rPr>
        <w:t xml:space="preserve">of </w:t>
      </w:r>
      <w:r w:rsidR="00306ECD">
        <w:rPr>
          <w:lang w:val="en-AU"/>
        </w:rPr>
        <w:t>e</w:t>
      </w:r>
      <w:r w:rsidR="00306ECD" w:rsidRPr="00102672">
        <w:rPr>
          <w:lang w:val="en-AU"/>
        </w:rPr>
        <w:t xml:space="preserve">xposure </w:t>
      </w:r>
      <w:r w:rsidRPr="00102672">
        <w:rPr>
          <w:lang w:val="en-AU"/>
        </w:rPr>
        <w:t xml:space="preserve">(MOE) of approximately </w:t>
      </w:r>
      <w:r w:rsidR="00102672" w:rsidRPr="00102672">
        <w:rPr>
          <w:lang w:val="en-AU"/>
        </w:rPr>
        <w:t>23</w:t>
      </w:r>
      <w:r w:rsidR="009836E1">
        <w:rPr>
          <w:lang w:val="en-AU"/>
        </w:rPr>
        <w:t>50</w:t>
      </w:r>
      <w:r w:rsidR="00102672" w:rsidRPr="00102672">
        <w:rPr>
          <w:lang w:val="en-AU"/>
        </w:rPr>
        <w:t xml:space="preserve"> and 176</w:t>
      </w:r>
      <w:r w:rsidR="009836E1">
        <w:rPr>
          <w:lang w:val="en-AU"/>
        </w:rPr>
        <w:t>0</w:t>
      </w:r>
      <w:r w:rsidR="00102672" w:rsidRPr="00102672">
        <w:rPr>
          <w:lang w:val="en-AU"/>
        </w:rPr>
        <w:t>, respectively</w:t>
      </w:r>
      <w:r w:rsidRPr="00102672">
        <w:rPr>
          <w:lang w:val="en-AU"/>
        </w:rPr>
        <w:t>.</w:t>
      </w:r>
    </w:p>
    <w:p w14:paraId="0CFE5FC2" w14:textId="77777777" w:rsidR="0023678E" w:rsidRPr="00102672" w:rsidRDefault="0023678E" w:rsidP="0023678E">
      <w:pPr>
        <w:rPr>
          <w:lang w:val="en-AU"/>
        </w:rPr>
      </w:pPr>
    </w:p>
    <w:p w14:paraId="15AC5B03" w14:textId="20F8CA7B" w:rsidR="0023678E" w:rsidRPr="00C01354" w:rsidRDefault="0023678E" w:rsidP="0023678E">
      <w:pPr>
        <w:rPr>
          <w:lang w:val="en-AU"/>
        </w:rPr>
      </w:pPr>
      <w:r>
        <w:rPr>
          <w:lang w:val="en-AU"/>
        </w:rPr>
        <w:t>Bioinformatic</w:t>
      </w:r>
      <w:r w:rsidRPr="00102BBA">
        <w:rPr>
          <w:lang w:val="en-AU"/>
        </w:rPr>
        <w:t xml:space="preserve"> analysis indicated that the enzyme shows no significant homology with any </w:t>
      </w:r>
      <w:r w:rsidRPr="00DC7740">
        <w:rPr>
          <w:lang w:val="en-AU"/>
        </w:rPr>
        <w:t xml:space="preserve">known toxins or venoms. However a degree of homology between the </w:t>
      </w:r>
      <w:r w:rsidR="00306ECD">
        <w:rPr>
          <w:lang w:val="en-AU"/>
        </w:rPr>
        <w:t>enzyme and</w:t>
      </w:r>
      <w:r w:rsidRPr="00DC7740">
        <w:rPr>
          <w:lang w:val="en-AU"/>
        </w:rPr>
        <w:t xml:space="preserve"> several allergens was found. Taking into account that none of these allergens </w:t>
      </w:r>
      <w:r w:rsidR="00306ECD">
        <w:rPr>
          <w:lang w:val="en-AU"/>
        </w:rPr>
        <w:t>are</w:t>
      </w:r>
      <w:r w:rsidR="00306ECD" w:rsidRPr="00DC7740">
        <w:rPr>
          <w:lang w:val="en-AU"/>
        </w:rPr>
        <w:t xml:space="preserve"> </w:t>
      </w:r>
      <w:r w:rsidRPr="00DC7740">
        <w:rPr>
          <w:lang w:val="en-AU"/>
        </w:rPr>
        <w:t>food allergens</w:t>
      </w:r>
      <w:r w:rsidR="00306ECD">
        <w:rPr>
          <w:lang w:val="en-AU"/>
        </w:rPr>
        <w:t>, the enzyme was shown to be susceptible to proteolysis by digestive enzymes</w:t>
      </w:r>
      <w:r w:rsidRPr="00DC7740">
        <w:rPr>
          <w:lang w:val="en-AU"/>
        </w:rPr>
        <w:t xml:space="preserve"> and th</w:t>
      </w:r>
      <w:r>
        <w:rPr>
          <w:lang w:val="en-AU"/>
        </w:rPr>
        <w:t>at only</w:t>
      </w:r>
      <w:r w:rsidRPr="00DC7740">
        <w:rPr>
          <w:lang w:val="en-AU"/>
        </w:rPr>
        <w:t xml:space="preserve"> low level</w:t>
      </w:r>
      <w:r w:rsidR="00306ECD">
        <w:rPr>
          <w:lang w:val="en-AU"/>
        </w:rPr>
        <w:t>s</w:t>
      </w:r>
      <w:r w:rsidRPr="00DC7740">
        <w:rPr>
          <w:lang w:val="en-AU"/>
        </w:rPr>
        <w:t xml:space="preserve"> of the enzyme processing aid </w:t>
      </w:r>
      <w:r w:rsidR="00306ECD">
        <w:rPr>
          <w:lang w:val="en-AU"/>
        </w:rPr>
        <w:t>are</w:t>
      </w:r>
      <w:r w:rsidRPr="00DC7740">
        <w:rPr>
          <w:lang w:val="en-AU"/>
        </w:rPr>
        <w:t xml:space="preserve"> expected to be present in final food products, the risk of food allergy from the proposed uses of the enzyme is likely to be </w:t>
      </w:r>
      <w:r w:rsidRPr="00C01354">
        <w:rPr>
          <w:lang w:val="en-AU"/>
        </w:rPr>
        <w:t>low.</w:t>
      </w:r>
    </w:p>
    <w:p w14:paraId="102C4B26" w14:textId="77777777" w:rsidR="0023678E" w:rsidRPr="0032484B" w:rsidRDefault="0023678E" w:rsidP="0023678E">
      <w:pPr>
        <w:pStyle w:val="Heading1"/>
        <w:rPr>
          <w:lang w:val="en-AU"/>
        </w:rPr>
      </w:pPr>
      <w:bookmarkStart w:id="157" w:name="_Toc30154619"/>
      <w:bookmarkStart w:id="158" w:name="_Toc85204783"/>
      <w:bookmarkStart w:id="159" w:name="_Toc85211345"/>
      <w:bookmarkStart w:id="160" w:name="_Toc94535633"/>
      <w:bookmarkStart w:id="161" w:name="_Toc97107447"/>
      <w:bookmarkStart w:id="162" w:name="_Toc101521542"/>
      <w:r w:rsidRPr="0032484B">
        <w:rPr>
          <w:lang w:val="en-AU"/>
        </w:rPr>
        <w:t xml:space="preserve">5 </w:t>
      </w:r>
      <w:r w:rsidRPr="0032484B">
        <w:rPr>
          <w:lang w:val="en-AU"/>
        </w:rPr>
        <w:tab/>
        <w:t>Conclusion</w:t>
      </w:r>
      <w:bookmarkEnd w:id="157"/>
      <w:bookmarkEnd w:id="158"/>
      <w:bookmarkEnd w:id="159"/>
      <w:bookmarkEnd w:id="160"/>
      <w:bookmarkEnd w:id="161"/>
      <w:bookmarkEnd w:id="162"/>
    </w:p>
    <w:p w14:paraId="4D19EC36" w14:textId="7644C662" w:rsidR="00422171" w:rsidRDefault="0023678E" w:rsidP="00422171">
      <w:pPr>
        <w:rPr>
          <w:lang w:val="en-AU"/>
        </w:rPr>
      </w:pPr>
      <w:r w:rsidRPr="00B44780">
        <w:rPr>
          <w:lang w:val="en-AU"/>
        </w:rPr>
        <w:t>Based on the reviewed data it is concluded that in the absence of any identifiable hazard an ADI ‘not specified’ is appropriate.</w:t>
      </w:r>
    </w:p>
    <w:p w14:paraId="57A00682" w14:textId="48AE923F" w:rsidR="001D1FB4" w:rsidRPr="001D1FB4" w:rsidRDefault="001D1FB4" w:rsidP="001D1FB4">
      <w:pPr>
        <w:keepNext/>
        <w:spacing w:before="240" w:after="240"/>
        <w:ind w:left="567" w:hanging="567"/>
        <w:outlineLvl w:val="0"/>
        <w:rPr>
          <w:b/>
          <w:bCs/>
          <w:sz w:val="36"/>
          <w:szCs w:val="28"/>
          <w:lang w:val="en-AU" w:bidi="ar-SA"/>
        </w:rPr>
      </w:pPr>
      <w:bookmarkStart w:id="163" w:name="_Toc97107448"/>
      <w:bookmarkStart w:id="164" w:name="_Toc101521543"/>
      <w:r w:rsidRPr="001D1FB4">
        <w:rPr>
          <w:b/>
          <w:bCs/>
          <w:sz w:val="36"/>
          <w:szCs w:val="28"/>
          <w:lang w:val="en-AU" w:bidi="ar-SA"/>
        </w:rPr>
        <w:t xml:space="preserve">6 </w:t>
      </w:r>
      <w:r w:rsidRPr="001D1FB4">
        <w:rPr>
          <w:b/>
          <w:bCs/>
          <w:sz w:val="36"/>
          <w:szCs w:val="28"/>
          <w:lang w:val="en-AU" w:bidi="ar-SA"/>
        </w:rPr>
        <w:tab/>
        <w:t>References</w:t>
      </w:r>
      <w:bookmarkEnd w:id="155"/>
      <w:bookmarkEnd w:id="163"/>
      <w:bookmarkEnd w:id="164"/>
    </w:p>
    <w:p w14:paraId="177DBB5F" w14:textId="77777777" w:rsidR="005D2535" w:rsidRPr="005D2535" w:rsidRDefault="005D2535" w:rsidP="005D2535">
      <w:pPr>
        <w:rPr>
          <w:szCs w:val="22"/>
        </w:rPr>
      </w:pPr>
      <w:r w:rsidRPr="005D2535">
        <w:rPr>
          <w:szCs w:val="22"/>
        </w:rPr>
        <w:t xml:space="preserve">Campbell-Platt, G (2018) Food Science and Technology (second edition), John Wiley and Sons, West Sussex  </w:t>
      </w:r>
    </w:p>
    <w:p w14:paraId="074666B6" w14:textId="77777777" w:rsidR="005D2535" w:rsidRDefault="005D2535" w:rsidP="000039C3">
      <w:pPr>
        <w:rPr>
          <w:szCs w:val="22"/>
        </w:rPr>
      </w:pPr>
    </w:p>
    <w:p w14:paraId="4DB42B27" w14:textId="77777777" w:rsidR="00BB5553" w:rsidRDefault="00BB5553" w:rsidP="000039C3">
      <w:pPr>
        <w:rPr>
          <w:szCs w:val="22"/>
        </w:rPr>
      </w:pPr>
      <w:r w:rsidRPr="00BB5553">
        <w:rPr>
          <w:szCs w:val="22"/>
        </w:rPr>
        <w:t>Damodaran S, Parkin KL, Fennema OR (2008) Fennema's Food Chemistry (4th ed). Boca Raton: CRC Press/Taylor &amp; Francis</w:t>
      </w:r>
    </w:p>
    <w:p w14:paraId="556C5148" w14:textId="77777777" w:rsidR="00BB5553" w:rsidRDefault="00BB5553" w:rsidP="000039C3">
      <w:pPr>
        <w:rPr>
          <w:szCs w:val="22"/>
        </w:rPr>
      </w:pPr>
    </w:p>
    <w:p w14:paraId="74D9A88A" w14:textId="300E89CA" w:rsidR="000039C3" w:rsidRPr="005D1355" w:rsidRDefault="000039C3" w:rsidP="000039C3">
      <w:pPr>
        <w:rPr>
          <w:szCs w:val="22"/>
        </w:rPr>
      </w:pPr>
      <w:r w:rsidRPr="005D1355">
        <w:rPr>
          <w:szCs w:val="22"/>
        </w:rPr>
        <w:t>Douglass JS, Barraj LM, Tennant DR, Long WR, Chaisson CF (1997) Evaluation of the Budget Method for screening food additive intakes. Food Additives and Contaminants 14(8): 791-802</w:t>
      </w:r>
    </w:p>
    <w:p w14:paraId="26660502" w14:textId="7617FAC2" w:rsidR="00B61E11" w:rsidRDefault="00B61E11" w:rsidP="000039C3">
      <w:pPr>
        <w:rPr>
          <w:szCs w:val="22"/>
        </w:rPr>
      </w:pPr>
    </w:p>
    <w:p w14:paraId="10FBD94B" w14:textId="49945350" w:rsidR="00D46448" w:rsidRDefault="00D46448" w:rsidP="000039C3">
      <w:pPr>
        <w:rPr>
          <w:szCs w:val="22"/>
        </w:rPr>
      </w:pPr>
      <w:r w:rsidRPr="00D46448">
        <w:rPr>
          <w:szCs w:val="22"/>
        </w:rPr>
        <w:t>Euro</w:t>
      </w:r>
      <w:r>
        <w:rPr>
          <w:szCs w:val="22"/>
        </w:rPr>
        <w:t>fins BioPharma &amp; BSL BIOSERVICE</w:t>
      </w:r>
      <w:r w:rsidRPr="00D46448">
        <w:rPr>
          <w:szCs w:val="22"/>
        </w:rPr>
        <w:t xml:space="preserve"> </w:t>
      </w:r>
      <w:r>
        <w:rPr>
          <w:szCs w:val="22"/>
        </w:rPr>
        <w:t>(</w:t>
      </w:r>
      <w:r w:rsidRPr="00D46448">
        <w:rPr>
          <w:szCs w:val="22"/>
        </w:rPr>
        <w:t>2017)</w:t>
      </w:r>
      <w:r>
        <w:rPr>
          <w:szCs w:val="22"/>
        </w:rPr>
        <w:t xml:space="preserve"> </w:t>
      </w:r>
      <w:r w:rsidRPr="00D46448">
        <w:rPr>
          <w:szCs w:val="22"/>
        </w:rPr>
        <w:t xml:space="preserve">90-day repeated dose </w:t>
      </w:r>
      <w:r w:rsidRPr="00D46448">
        <w:rPr>
          <w:szCs w:val="22"/>
        </w:rPr>
        <w:lastRenderedPageBreak/>
        <w:t xml:space="preserve">oral toxicity study in </w:t>
      </w:r>
      <w:r>
        <w:rPr>
          <w:szCs w:val="22"/>
        </w:rPr>
        <w:t xml:space="preserve">wistar </w:t>
      </w:r>
      <w:r w:rsidRPr="00D46448">
        <w:rPr>
          <w:szCs w:val="22"/>
        </w:rPr>
        <w:t xml:space="preserve">rats </w:t>
      </w:r>
      <w:r>
        <w:rPr>
          <w:szCs w:val="22"/>
        </w:rPr>
        <w:t>with serine endopeptidase produced with Trichoderma reesei</w:t>
      </w:r>
    </w:p>
    <w:p w14:paraId="6070E728" w14:textId="77777777" w:rsidR="00D46448" w:rsidRDefault="00D46448" w:rsidP="000039C3">
      <w:pPr>
        <w:rPr>
          <w:szCs w:val="22"/>
        </w:rPr>
      </w:pPr>
    </w:p>
    <w:p w14:paraId="759B6CAE" w14:textId="77777777" w:rsidR="004B4D33" w:rsidRDefault="004B4D33" w:rsidP="004B4D33">
      <w:pPr>
        <w:rPr>
          <w:szCs w:val="22"/>
        </w:rPr>
      </w:pPr>
      <w:r w:rsidRPr="004B4D33">
        <w:rPr>
          <w:szCs w:val="22"/>
        </w:rPr>
        <w:t xml:space="preserve">Eurofins BioPharma, </w:t>
      </w:r>
      <w:r>
        <w:rPr>
          <w:szCs w:val="22"/>
        </w:rPr>
        <w:t>(</w:t>
      </w:r>
      <w:r w:rsidRPr="004B4D33">
        <w:rPr>
          <w:szCs w:val="22"/>
        </w:rPr>
        <w:t>2016</w:t>
      </w:r>
      <w:r>
        <w:rPr>
          <w:szCs w:val="22"/>
        </w:rPr>
        <w:t xml:space="preserve">a). </w:t>
      </w:r>
      <w:r w:rsidRPr="004B4D33">
        <w:rPr>
          <w:szCs w:val="22"/>
        </w:rPr>
        <w:t xml:space="preserve">In vitro mammalian cell gene mutation </w:t>
      </w:r>
      <w:r>
        <w:rPr>
          <w:szCs w:val="22"/>
        </w:rPr>
        <w:t>assay (thymidine kinase Locus/TK</w:t>
      </w:r>
      <w:r w:rsidRPr="004B4D33">
        <w:rPr>
          <w:szCs w:val="22"/>
          <w:vertAlign w:val="superscript"/>
        </w:rPr>
        <w:t>+/-</w:t>
      </w:r>
      <w:r>
        <w:rPr>
          <w:szCs w:val="22"/>
        </w:rPr>
        <w:t xml:space="preserve">) in mouse lymphoma L5178Y cells with serine endopeptidase produced with Trichoderma reesei </w:t>
      </w:r>
    </w:p>
    <w:p w14:paraId="7C6CF962" w14:textId="77777777" w:rsidR="004B4D33" w:rsidRDefault="004B4D33" w:rsidP="000039C3">
      <w:pPr>
        <w:rPr>
          <w:szCs w:val="22"/>
        </w:rPr>
      </w:pPr>
    </w:p>
    <w:p w14:paraId="1D264033" w14:textId="5D4C158C" w:rsidR="004B4D33" w:rsidRDefault="004B4D33" w:rsidP="000039C3">
      <w:pPr>
        <w:rPr>
          <w:szCs w:val="22"/>
        </w:rPr>
      </w:pPr>
      <w:r w:rsidRPr="004B4D33">
        <w:rPr>
          <w:szCs w:val="22"/>
        </w:rPr>
        <w:t xml:space="preserve">Eurofins BioPharma, </w:t>
      </w:r>
      <w:r>
        <w:rPr>
          <w:szCs w:val="22"/>
        </w:rPr>
        <w:t>(</w:t>
      </w:r>
      <w:r w:rsidRPr="004B4D33">
        <w:rPr>
          <w:szCs w:val="22"/>
        </w:rPr>
        <w:t>2016</w:t>
      </w:r>
      <w:r>
        <w:rPr>
          <w:szCs w:val="22"/>
        </w:rPr>
        <w:t xml:space="preserve">b). </w:t>
      </w:r>
      <w:r w:rsidRPr="004B4D33">
        <w:rPr>
          <w:szCs w:val="22"/>
        </w:rPr>
        <w:t>In vitro ma</w:t>
      </w:r>
      <w:r>
        <w:rPr>
          <w:szCs w:val="22"/>
        </w:rPr>
        <w:t xml:space="preserve">mmalian cell micronucleus </w:t>
      </w:r>
      <w:r w:rsidR="00D46448">
        <w:rPr>
          <w:szCs w:val="22"/>
        </w:rPr>
        <w:t>assay in human l</w:t>
      </w:r>
      <w:r>
        <w:rPr>
          <w:szCs w:val="22"/>
        </w:rPr>
        <w:t xml:space="preserve">ymphocytes with serine endopeptidase produced with Trichoderma reesei </w:t>
      </w:r>
    </w:p>
    <w:p w14:paraId="102F3B21" w14:textId="77777777" w:rsidR="004B4D33" w:rsidRDefault="004B4D33" w:rsidP="000039C3">
      <w:pPr>
        <w:rPr>
          <w:szCs w:val="22"/>
        </w:rPr>
      </w:pPr>
    </w:p>
    <w:p w14:paraId="5D23B3DC" w14:textId="5E6016DE" w:rsidR="000039C3" w:rsidRPr="005D1355" w:rsidRDefault="00B61E11" w:rsidP="000039C3">
      <w:pPr>
        <w:rPr>
          <w:szCs w:val="22"/>
        </w:rPr>
      </w:pPr>
      <w:r w:rsidRPr="00B61E11">
        <w:rPr>
          <w:szCs w:val="22"/>
        </w:rPr>
        <w:t>FAO/WHO (2009a) Chapter 9: Principles related to specific groups of substances. In: International Programme on Chemical Safety (IPCS). Environmental Health Criteria, No 240 Principles and methods for the risk assessment of chemicals in food. Rome: Food and Agriculture Organization of the United Nations (FAO) / Geneva: World Health Organization (WHO)</w:t>
      </w:r>
    </w:p>
    <w:p w14:paraId="3D053551" w14:textId="77777777" w:rsidR="00B61E11" w:rsidRDefault="00B61E11" w:rsidP="000039C3">
      <w:pPr>
        <w:rPr>
          <w:color w:val="000000"/>
          <w:szCs w:val="22"/>
        </w:rPr>
      </w:pPr>
    </w:p>
    <w:p w14:paraId="3DB7F755" w14:textId="0BEEC577" w:rsidR="000039C3" w:rsidRPr="005D1355" w:rsidRDefault="000039C3" w:rsidP="000039C3">
      <w:pPr>
        <w:rPr>
          <w:color w:val="000000"/>
          <w:szCs w:val="22"/>
        </w:rPr>
      </w:pPr>
      <w:r w:rsidRPr="005D1355">
        <w:rPr>
          <w:color w:val="000000"/>
          <w:szCs w:val="22"/>
        </w:rPr>
        <w:t>FAO/WHO (2009</w:t>
      </w:r>
      <w:r w:rsidR="00B61E11">
        <w:rPr>
          <w:color w:val="000000"/>
          <w:szCs w:val="22"/>
        </w:rPr>
        <w:t>b</w:t>
      </w:r>
      <w:r w:rsidRPr="005D1355">
        <w:rPr>
          <w:color w:val="000000"/>
          <w:szCs w:val="22"/>
        </w:rPr>
        <w:t>) Chapter 6: Dietary exposure assessment of chemicals in food. In: International Programme on Chemical Safety (IPCS). Environmental Health Criteria, No 240. Principles and methods for the risk assessment of chemicals in food. Rome: Food and Agriculture Organization of the United Nations (FAO) / Geneva: World Health Organization (WHO)</w:t>
      </w:r>
    </w:p>
    <w:p w14:paraId="1369500F" w14:textId="5F5C4CF1" w:rsidR="00D60568" w:rsidRDefault="00D60568" w:rsidP="000039C3"/>
    <w:p w14:paraId="709A5A17" w14:textId="77777777" w:rsidR="00017AAE" w:rsidRPr="00017AAE" w:rsidRDefault="00017AAE" w:rsidP="00017AAE">
      <w:pPr>
        <w:rPr>
          <w:szCs w:val="22"/>
          <w:highlight w:val="yellow"/>
        </w:rPr>
      </w:pPr>
      <w:r w:rsidRPr="00017AAE">
        <w:rPr>
          <w:szCs w:val="22"/>
        </w:rPr>
        <w:t xml:space="preserve">FAO/WHO (2006) </w:t>
      </w:r>
      <w:hyperlink r:id="rId19" w:history="1">
        <w:r w:rsidRPr="00017AAE">
          <w:rPr>
            <w:color w:val="3333FF"/>
            <w:szCs w:val="22"/>
            <w:u w:val="single"/>
          </w:rPr>
          <w:t>General specifications and considerations for enzyme preparations used in food processing</w:t>
        </w:r>
      </w:hyperlink>
      <w:r w:rsidRPr="00017AAE">
        <w:rPr>
          <w:szCs w:val="22"/>
        </w:rPr>
        <w:t>. Accessed 21 September 2021</w:t>
      </w:r>
    </w:p>
    <w:p w14:paraId="6C7F1A71" w14:textId="77777777" w:rsidR="00017AAE" w:rsidRPr="00017AAE" w:rsidRDefault="00017AAE" w:rsidP="00017AAE">
      <w:pPr>
        <w:tabs>
          <w:tab w:val="left" w:pos="0"/>
        </w:tabs>
        <w:rPr>
          <w:rFonts w:cs="Arial"/>
          <w:noProof/>
          <w:szCs w:val="22"/>
        </w:rPr>
      </w:pPr>
    </w:p>
    <w:p w14:paraId="63264514" w14:textId="7AE116F9" w:rsidR="00017AAE" w:rsidRPr="00017AAE" w:rsidRDefault="00017AAE" w:rsidP="00017AAE">
      <w:pPr>
        <w:tabs>
          <w:tab w:val="left" w:pos="0"/>
        </w:tabs>
        <w:rPr>
          <w:rFonts w:cs="Arial"/>
          <w:noProof/>
          <w:szCs w:val="22"/>
        </w:rPr>
      </w:pPr>
      <w:r w:rsidRPr="00017AAE">
        <w:rPr>
          <w:rFonts w:cs="Arial"/>
          <w:noProof/>
          <w:szCs w:val="22"/>
        </w:rPr>
        <w:t>IUBMB</w:t>
      </w:r>
      <w:r w:rsidR="002212D2">
        <w:rPr>
          <w:rFonts w:cs="Arial"/>
          <w:noProof/>
          <w:szCs w:val="22"/>
        </w:rPr>
        <w:t xml:space="preserve"> 2022</w:t>
      </w:r>
      <w:r w:rsidRPr="00017AAE">
        <w:rPr>
          <w:rFonts w:cs="Arial"/>
          <w:noProof/>
          <w:szCs w:val="22"/>
        </w:rPr>
        <w:t xml:space="preserve"> Enzyme Nomenclature EC 3.4.21.65</w:t>
      </w:r>
    </w:p>
    <w:p w14:paraId="4E34FCFC" w14:textId="77777777" w:rsidR="00017AAE" w:rsidRPr="00017AAE" w:rsidRDefault="00F00CC7" w:rsidP="00017AAE">
      <w:pPr>
        <w:tabs>
          <w:tab w:val="left" w:pos="0"/>
        </w:tabs>
        <w:rPr>
          <w:rFonts w:cs="Arial"/>
          <w:noProof/>
          <w:szCs w:val="22"/>
        </w:rPr>
      </w:pPr>
      <w:hyperlink r:id="rId20" w:history="1">
        <w:r w:rsidR="00017AAE" w:rsidRPr="00017AAE">
          <w:rPr>
            <w:rStyle w:val="Hyperlink"/>
            <w:szCs w:val="22"/>
          </w:rPr>
          <w:t>https://iubmb.qmul.ac.uk/enzyme/EC3/4/21/65.html</w:t>
        </w:r>
      </w:hyperlink>
      <w:r w:rsidR="00017AAE" w:rsidRPr="00017AAE">
        <w:rPr>
          <w:szCs w:val="22"/>
        </w:rPr>
        <w:t xml:space="preserve"> </w:t>
      </w:r>
      <w:r w:rsidR="00017AAE" w:rsidRPr="00017AAE">
        <w:rPr>
          <w:rFonts w:cs="Arial"/>
          <w:noProof/>
          <w:szCs w:val="22"/>
        </w:rPr>
        <w:t xml:space="preserve"> Accessed 21 December 2021 </w:t>
      </w:r>
    </w:p>
    <w:p w14:paraId="61DA3EE3" w14:textId="5CF708A5" w:rsidR="00017AAE" w:rsidRDefault="00017AAE" w:rsidP="00017AAE">
      <w:pPr>
        <w:tabs>
          <w:tab w:val="left" w:pos="0"/>
        </w:tabs>
        <w:rPr>
          <w:rFonts w:cs="Arial"/>
          <w:noProof/>
          <w:szCs w:val="22"/>
        </w:rPr>
      </w:pPr>
    </w:p>
    <w:p w14:paraId="4A2421C3" w14:textId="77777777" w:rsidR="00B61E11" w:rsidRDefault="00B61E11" w:rsidP="00B61E11">
      <w:pPr>
        <w:rPr>
          <w:szCs w:val="22"/>
          <w:lang w:bidi="ar-SA"/>
        </w:rPr>
      </w:pPr>
      <w:r>
        <w:rPr>
          <w:szCs w:val="22"/>
          <w:lang w:bidi="ar-SA"/>
        </w:rPr>
        <w:t>Karhunen T, M</w:t>
      </w:r>
      <w:r>
        <w:rPr>
          <w:rFonts w:cs="Arial"/>
          <w:lang w:bidi="ar-SA"/>
        </w:rPr>
        <w:t xml:space="preserve">äntylä A, Nevalainen KMH, Suominen PL (1993) High frequency one-step gene replacement in </w:t>
      </w:r>
      <w:r w:rsidRPr="00D10421">
        <w:rPr>
          <w:rFonts w:cs="Arial"/>
          <w:i/>
          <w:lang w:bidi="ar-SA"/>
        </w:rPr>
        <w:t>Trichoderma ressei</w:t>
      </w:r>
      <w:r>
        <w:rPr>
          <w:rFonts w:cs="Arial"/>
          <w:lang w:bidi="ar-SA"/>
        </w:rPr>
        <w:t>. I. Endoglucanase I overproduction. Mol Gen Genet 241:515-522</w:t>
      </w:r>
    </w:p>
    <w:p w14:paraId="0C137A23" w14:textId="40D48911" w:rsidR="00B61E11" w:rsidRDefault="00B61E11" w:rsidP="00017AAE">
      <w:pPr>
        <w:tabs>
          <w:tab w:val="left" w:pos="0"/>
        </w:tabs>
        <w:rPr>
          <w:rFonts w:cs="Arial"/>
          <w:noProof/>
          <w:szCs w:val="22"/>
        </w:rPr>
      </w:pPr>
    </w:p>
    <w:p w14:paraId="349B1523" w14:textId="3EE5E12A" w:rsidR="00B61E11" w:rsidRDefault="00B61E11" w:rsidP="00017AAE">
      <w:pPr>
        <w:tabs>
          <w:tab w:val="left" w:pos="0"/>
        </w:tabs>
        <w:rPr>
          <w:szCs w:val="22"/>
          <w:lang w:bidi="ar-SA"/>
        </w:rPr>
      </w:pPr>
      <w:r w:rsidRPr="00272CB4">
        <w:rPr>
          <w:szCs w:val="22"/>
          <w:lang w:bidi="ar-SA"/>
        </w:rPr>
        <w:t xml:space="preserve">Kelly JM, Hynes MJ (1985) Transformation of </w:t>
      </w:r>
      <w:r w:rsidRPr="00272CB4">
        <w:rPr>
          <w:i/>
          <w:szCs w:val="22"/>
          <w:lang w:bidi="ar-SA"/>
        </w:rPr>
        <w:t>Aspergillus niger</w:t>
      </w:r>
      <w:r w:rsidRPr="00272CB4">
        <w:rPr>
          <w:szCs w:val="22"/>
          <w:lang w:bidi="ar-SA"/>
        </w:rPr>
        <w:t xml:space="preserve"> by the </w:t>
      </w:r>
      <w:r w:rsidRPr="00272CB4">
        <w:rPr>
          <w:i/>
          <w:szCs w:val="22"/>
          <w:lang w:bidi="ar-SA"/>
        </w:rPr>
        <w:t>amdS</w:t>
      </w:r>
      <w:r w:rsidRPr="00272CB4">
        <w:rPr>
          <w:szCs w:val="22"/>
          <w:lang w:bidi="ar-SA"/>
        </w:rPr>
        <w:t xml:space="preserve"> gene of </w:t>
      </w:r>
      <w:r w:rsidRPr="00272CB4">
        <w:rPr>
          <w:i/>
          <w:szCs w:val="22"/>
          <w:lang w:bidi="ar-SA"/>
        </w:rPr>
        <w:t>Aspergillus nidulans</w:t>
      </w:r>
      <w:r w:rsidRPr="00272CB4">
        <w:rPr>
          <w:szCs w:val="22"/>
          <w:lang w:bidi="ar-SA"/>
        </w:rPr>
        <w:t>. EMBO J 4(2):475 – 479</w:t>
      </w:r>
    </w:p>
    <w:p w14:paraId="13FBD18A" w14:textId="77777777" w:rsidR="00B61E11" w:rsidRPr="00017AAE" w:rsidRDefault="00B61E11" w:rsidP="00017AAE">
      <w:pPr>
        <w:tabs>
          <w:tab w:val="left" w:pos="0"/>
        </w:tabs>
        <w:rPr>
          <w:rFonts w:cs="Arial"/>
          <w:noProof/>
          <w:szCs w:val="22"/>
        </w:rPr>
      </w:pPr>
    </w:p>
    <w:p w14:paraId="736CC4E1" w14:textId="3625AF80" w:rsidR="005D2535" w:rsidRPr="005D2535" w:rsidRDefault="005D2535" w:rsidP="005D2535">
      <w:pPr>
        <w:autoSpaceDE w:val="0"/>
        <w:autoSpaceDN w:val="0"/>
        <w:adjustRightInd w:val="0"/>
        <w:rPr>
          <w:szCs w:val="22"/>
          <w:lang w:val="en-US" w:eastAsia="en-GB"/>
        </w:rPr>
      </w:pPr>
      <w:r w:rsidRPr="005D2535">
        <w:rPr>
          <w:szCs w:val="22"/>
          <w:lang w:val="en-US" w:eastAsia="en-GB"/>
        </w:rPr>
        <w:t>Nagodawithana T and Reed G (1993) Enzymes in Food Processing (3</w:t>
      </w:r>
      <w:r w:rsidRPr="005D2535">
        <w:rPr>
          <w:szCs w:val="22"/>
          <w:vertAlign w:val="superscript"/>
          <w:lang w:val="en-US" w:eastAsia="en-GB"/>
        </w:rPr>
        <w:t>rd</w:t>
      </w:r>
      <w:r w:rsidRPr="005D2535">
        <w:rPr>
          <w:szCs w:val="22"/>
          <w:lang w:val="en-US" w:eastAsia="en-GB"/>
        </w:rPr>
        <w:t xml:space="preserve"> ed.) Academic Press, Inc. London</w:t>
      </w:r>
    </w:p>
    <w:p w14:paraId="4049EB39" w14:textId="77777777" w:rsidR="00B61E11" w:rsidRDefault="00B61E11" w:rsidP="00B61E11">
      <w:pPr>
        <w:rPr>
          <w:lang w:bidi="ar-SA"/>
        </w:rPr>
      </w:pPr>
    </w:p>
    <w:p w14:paraId="66396BB1" w14:textId="2A920EAE" w:rsidR="00B61E11" w:rsidRDefault="00B61E11" w:rsidP="00B61E11">
      <w:pPr>
        <w:rPr>
          <w:lang w:bidi="ar-SA"/>
        </w:rPr>
      </w:pPr>
      <w:r>
        <w:rPr>
          <w:lang w:bidi="ar-SA"/>
        </w:rPr>
        <w:t>Penttil</w:t>
      </w:r>
      <w:r>
        <w:rPr>
          <w:rFonts w:cs="Arial"/>
          <w:lang w:bidi="ar-SA"/>
        </w:rPr>
        <w:t>ä</w:t>
      </w:r>
      <w:r>
        <w:rPr>
          <w:lang w:bidi="ar-SA"/>
        </w:rPr>
        <w:t xml:space="preserve"> M, Navalainen H, R</w:t>
      </w:r>
      <w:r>
        <w:rPr>
          <w:rFonts w:cs="Arial"/>
          <w:lang w:bidi="ar-SA"/>
        </w:rPr>
        <w:t>ättö M, Salminen E, Knowles J</w:t>
      </w:r>
      <w:r>
        <w:rPr>
          <w:lang w:bidi="ar-SA"/>
        </w:rPr>
        <w:t xml:space="preserve"> (1987) A versatile transformation system for the cellulolytic filamentous fungus Trichoderma ressei. Gene. 61 (2):155-164</w:t>
      </w:r>
    </w:p>
    <w:p w14:paraId="58640D92" w14:textId="77777777" w:rsidR="005D2535" w:rsidRDefault="005D2535" w:rsidP="00017AAE">
      <w:pPr>
        <w:rPr>
          <w:szCs w:val="22"/>
        </w:rPr>
      </w:pPr>
    </w:p>
    <w:p w14:paraId="0CAB8786" w14:textId="16AD99EA" w:rsidR="00017AAE" w:rsidRPr="00017AAE" w:rsidRDefault="00017AAE" w:rsidP="00017AAE">
      <w:pPr>
        <w:rPr>
          <w:rFonts w:eastAsia="Calibri"/>
          <w:szCs w:val="22"/>
          <w:lang w:eastAsia="en-AU" w:bidi="ar-SA"/>
        </w:rPr>
      </w:pPr>
      <w:r w:rsidRPr="00017AAE">
        <w:rPr>
          <w:szCs w:val="22"/>
        </w:rPr>
        <w:t xml:space="preserve">The United States Pharmacopeia (2020) Food Chemicals Codex 12th </w:t>
      </w:r>
      <w:r w:rsidRPr="00017AAE">
        <w:rPr>
          <w:szCs w:val="22"/>
        </w:rPr>
        <w:lastRenderedPageBreak/>
        <w:t xml:space="preserve">Edition, United States Pharmacopeial Convention, Rockville, MD </w:t>
      </w:r>
    </w:p>
    <w:p w14:paraId="730095B6" w14:textId="77777777" w:rsidR="00017AAE" w:rsidRPr="00E203C2" w:rsidRDefault="00017AAE" w:rsidP="000039C3"/>
    <w:sectPr w:rsidR="00017AAE" w:rsidRPr="00E203C2" w:rsidSect="0054272D">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14EB" w14:textId="77777777" w:rsidR="008E3BE0" w:rsidRDefault="008E3BE0">
      <w:r>
        <w:separator/>
      </w:r>
    </w:p>
  </w:endnote>
  <w:endnote w:type="continuationSeparator" w:id="0">
    <w:p w14:paraId="45784AFF" w14:textId="77777777" w:rsidR="008E3BE0" w:rsidRDefault="008E3BE0">
      <w:r>
        <w:continuationSeparator/>
      </w:r>
    </w:p>
  </w:endnote>
  <w:endnote w:type="continuationNotice" w:id="1">
    <w:p w14:paraId="1E7102E7" w14:textId="77777777" w:rsidR="008E3BE0" w:rsidRDefault="008E3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41DE" w14:textId="18C2C3DD" w:rsidR="008E3BE0" w:rsidRDefault="008E3BE0" w:rsidP="009B377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A18D2C9" w14:textId="77777777" w:rsidR="008E3BE0" w:rsidRDefault="008E3BE0" w:rsidP="00F0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B866" w14:textId="36812A61" w:rsidR="008E3BE0" w:rsidRDefault="008E3BE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CC7">
      <w:rPr>
        <w:rStyle w:val="PageNumber"/>
        <w:noProof/>
      </w:rPr>
      <w:t>i</w:t>
    </w:r>
    <w:r>
      <w:rPr>
        <w:rStyle w:val="PageNumber"/>
      </w:rPr>
      <w:fldChar w:fldCharType="end"/>
    </w:r>
  </w:p>
  <w:p w14:paraId="336EEBE9" w14:textId="77777777" w:rsidR="008E3BE0" w:rsidRDefault="008E3BE0" w:rsidP="00F00C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1716" w14:textId="5B88D55E" w:rsidR="008E3BE0" w:rsidRDefault="008E3BE0" w:rsidP="009B377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F778207" w14:textId="77777777" w:rsidR="008E3BE0" w:rsidRDefault="008E3BE0" w:rsidP="00F00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A580" w14:textId="1534905E" w:rsidR="008E3BE0" w:rsidRDefault="008E3BE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CC7">
      <w:rPr>
        <w:rStyle w:val="PageNumber"/>
        <w:noProof/>
      </w:rPr>
      <w:t>4</w:t>
    </w:r>
    <w:r>
      <w:rPr>
        <w:rStyle w:val="PageNumber"/>
      </w:rPr>
      <w:fldChar w:fldCharType="end"/>
    </w:r>
  </w:p>
  <w:p w14:paraId="2DC4D4C7" w14:textId="77777777" w:rsidR="008E3BE0" w:rsidRDefault="008E3BE0" w:rsidP="00F00CC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AF6F" w14:textId="0B666EC3" w:rsidR="008E3BE0" w:rsidRPr="00F00CC7" w:rsidRDefault="008E3BE0" w:rsidP="00F0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E10D9" w14:textId="77777777" w:rsidR="008E3BE0" w:rsidRDefault="008E3BE0">
      <w:r>
        <w:separator/>
      </w:r>
    </w:p>
  </w:footnote>
  <w:footnote w:type="continuationSeparator" w:id="0">
    <w:p w14:paraId="04A1069A" w14:textId="77777777" w:rsidR="008E3BE0" w:rsidRDefault="008E3BE0">
      <w:r>
        <w:continuationSeparator/>
      </w:r>
    </w:p>
  </w:footnote>
  <w:footnote w:type="continuationNotice" w:id="1">
    <w:p w14:paraId="462E4EA3" w14:textId="77777777" w:rsidR="008E3BE0" w:rsidRDefault="008E3BE0"/>
  </w:footnote>
  <w:footnote w:id="2">
    <w:p w14:paraId="064D0E6C" w14:textId="77777777" w:rsidR="008E3BE0" w:rsidRPr="008B2780" w:rsidRDefault="008E3BE0" w:rsidP="00484654">
      <w:pPr>
        <w:pStyle w:val="FootnoteText"/>
        <w:rPr>
          <w:lang w:val="en-AU"/>
        </w:rPr>
      </w:pPr>
      <w:r>
        <w:rPr>
          <w:rStyle w:val="FootnoteReference"/>
        </w:rPr>
        <w:footnoteRef/>
      </w:r>
      <w:r>
        <w:t xml:space="preserve"> </w:t>
      </w:r>
      <w:r w:rsidRPr="008B2780">
        <w:t>International Union of Biochemistry and Molecular Biology</w:t>
      </w:r>
    </w:p>
  </w:footnote>
  <w:footnote w:id="3">
    <w:p w14:paraId="552EFF14" w14:textId="77777777" w:rsidR="008E3BE0" w:rsidRPr="006D0450" w:rsidRDefault="008E3BE0" w:rsidP="00484654">
      <w:pPr>
        <w:pStyle w:val="FootnoteText"/>
        <w:rPr>
          <w:lang w:val="en-AU"/>
        </w:rPr>
      </w:pPr>
      <w:r w:rsidRPr="008B2780">
        <w:rPr>
          <w:rStyle w:val="FootnoteReference"/>
        </w:rPr>
        <w:footnoteRef/>
      </w:r>
      <w:r w:rsidRPr="008B2780">
        <w:t xml:space="preserve"> </w:t>
      </w:r>
      <w:r w:rsidRPr="008B2780">
        <w:rPr>
          <w:lang w:val="en-AU"/>
        </w:rPr>
        <w:t>Chemical Abstracts Service</w:t>
      </w:r>
      <w:r>
        <w:rPr>
          <w:lang w:val="en-AU"/>
        </w:rPr>
        <w:t xml:space="preserve"> </w:t>
      </w:r>
    </w:p>
  </w:footnote>
  <w:footnote w:id="4">
    <w:p w14:paraId="08A86B8A" w14:textId="77777777" w:rsidR="008E3BE0" w:rsidRPr="00A12141" w:rsidRDefault="008E3BE0" w:rsidP="001E70F4">
      <w:pPr>
        <w:pStyle w:val="FootnoteText"/>
        <w:rPr>
          <w:lang w:val="en-AU"/>
        </w:rPr>
      </w:pPr>
      <w:r>
        <w:rPr>
          <w:rStyle w:val="FootnoteReference"/>
        </w:rPr>
        <w:footnoteRef/>
      </w:r>
      <w:r>
        <w:t xml:space="preserve"> A major manufacturer of enzymes for industrial applications such as</w:t>
      </w:r>
      <w:r w:rsidRPr="00A12141">
        <w:t xml:space="preserve"> baking, food, technical and feed industries.</w:t>
      </w:r>
    </w:p>
  </w:footnote>
  <w:footnote w:id="5">
    <w:p w14:paraId="53D3E67E" w14:textId="77777777" w:rsidR="008E3BE0" w:rsidRPr="00BB6D18" w:rsidRDefault="008E3BE0" w:rsidP="009D49D7">
      <w:pPr>
        <w:pStyle w:val="FootnoteText"/>
        <w:rPr>
          <w:lang w:val="en-AU"/>
        </w:rPr>
      </w:pPr>
      <w:r>
        <w:rPr>
          <w:rStyle w:val="FootnoteReference"/>
        </w:rPr>
        <w:footnoteRef/>
      </w:r>
      <w:r>
        <w:t xml:space="preserve"> </w:t>
      </w:r>
      <w:r w:rsidRPr="00BB6D18">
        <w:rPr>
          <w:lang w:val="en-AU" w:eastAsia="en-AU" w:bidi="ar-SA"/>
        </w:rPr>
        <w:t>NCBI sequence database</w:t>
      </w:r>
      <w:r>
        <w:rPr>
          <w:lang w:val="en-AU" w:eastAsia="en-AU" w:bidi="ar-SA"/>
        </w:rPr>
        <w:t>:</w:t>
      </w:r>
      <w:r w:rsidRPr="00BB6D18">
        <w:t xml:space="preserve"> </w:t>
      </w:r>
      <w:hyperlink r:id="rId1" w:history="1">
        <w:r w:rsidRPr="008506D4">
          <w:rPr>
            <w:rStyle w:val="Hyperlink"/>
          </w:rPr>
          <w:t>https://blast.ncbi.nlm.nih.gov/</w:t>
        </w:r>
      </w:hyperlink>
    </w:p>
  </w:footnote>
  <w:footnote w:id="6">
    <w:p w14:paraId="033E50CF" w14:textId="77777777" w:rsidR="008E3BE0" w:rsidRPr="008506D4" w:rsidRDefault="008E3BE0" w:rsidP="009D49D7">
      <w:pPr>
        <w:pStyle w:val="FootnoteText"/>
        <w:rPr>
          <w:lang w:val="en-AU"/>
        </w:rPr>
      </w:pPr>
      <w:r>
        <w:rPr>
          <w:rStyle w:val="FootnoteReference"/>
        </w:rPr>
        <w:footnoteRef/>
      </w:r>
      <w:r>
        <w:t xml:space="preserve"> </w:t>
      </w:r>
      <w:r w:rsidRPr="009F03A1">
        <w:t>UniProt database</w:t>
      </w:r>
      <w:r>
        <w:t xml:space="preserve">: </w:t>
      </w:r>
      <w:hyperlink r:id="rId2" w:history="1">
        <w:r w:rsidRPr="008506D4">
          <w:rPr>
            <w:rStyle w:val="Hyperlink"/>
          </w:rPr>
          <w:t>https://www.uniprot.org/blast/</w:t>
        </w:r>
      </w:hyperlink>
    </w:p>
  </w:footnote>
  <w:footnote w:id="7">
    <w:p w14:paraId="08AED14C" w14:textId="77777777" w:rsidR="008E3BE0" w:rsidRPr="00CD4F23" w:rsidRDefault="008E3BE0" w:rsidP="009D49D7">
      <w:pPr>
        <w:pStyle w:val="FootnoteText"/>
        <w:rPr>
          <w:sz w:val="18"/>
          <w:szCs w:val="18"/>
          <w:lang w:val="en-AU"/>
        </w:rPr>
      </w:pPr>
      <w:r w:rsidRPr="00CD4F23">
        <w:rPr>
          <w:rStyle w:val="FootnoteReference"/>
          <w:sz w:val="18"/>
          <w:szCs w:val="18"/>
        </w:rPr>
        <w:footnoteRef/>
      </w:r>
      <w:r w:rsidRPr="00CD4F23">
        <w:rPr>
          <w:sz w:val="18"/>
          <w:szCs w:val="18"/>
        </w:rPr>
        <w:t xml:space="preserve"> </w:t>
      </w:r>
      <w:r w:rsidRPr="008506D4">
        <w:t xml:space="preserve">AllergenOnline: </w:t>
      </w:r>
      <w:hyperlink r:id="rId3" w:history="1">
        <w:r w:rsidRPr="008506D4">
          <w:rPr>
            <w:rStyle w:val="Hyperlink"/>
          </w:rPr>
          <w:t>http://www.allergenonline.org/</w:t>
        </w:r>
      </w:hyperlink>
    </w:p>
  </w:footnote>
  <w:footnote w:id="8">
    <w:p w14:paraId="359FF7A6" w14:textId="77777777" w:rsidR="008E3BE0" w:rsidRPr="002A3FFB" w:rsidRDefault="008E3BE0" w:rsidP="009D49D7">
      <w:pPr>
        <w:pStyle w:val="FootnoteText"/>
        <w:rPr>
          <w:lang w:val="en-AU"/>
        </w:rPr>
      </w:pPr>
      <w:r w:rsidRPr="00E36199">
        <w:rPr>
          <w:rStyle w:val="FootnoteReference"/>
        </w:rPr>
        <w:footnoteRef/>
      </w:r>
      <w:r w:rsidRPr="00E36199">
        <w:t xml:space="preserve"> World Health Organization and International Union of Immunological Societies (WHO/IUIS) Allergen Nomenclature Sub-committee: </w:t>
      </w:r>
      <w:hyperlink r:id="rId4" w:history="1">
        <w:r w:rsidRPr="00E36199">
          <w:rPr>
            <w:rStyle w:val="Hyperlink"/>
          </w:rPr>
          <w:t>http://www.allergen.org/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04DB" w14:textId="69DA0922" w:rsidR="008E3BE0" w:rsidRDefault="008E3BE0">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6878" w14:textId="18BB956D" w:rsidR="008E3BE0" w:rsidRPr="00F00CC7" w:rsidRDefault="008E3BE0" w:rsidP="00F0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C5D4" w14:textId="3CD36E91" w:rsidR="008E3BE0" w:rsidRPr="00F00CC7" w:rsidRDefault="008E3BE0" w:rsidP="00F00C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3387" w14:textId="2A126F0B" w:rsidR="008E3BE0" w:rsidRDefault="008E3BE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E56CF2"/>
    <w:multiLevelType w:val="hybridMultilevel"/>
    <w:tmpl w:val="8A68042D"/>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D559CD"/>
    <w:multiLevelType w:val="hybridMultilevel"/>
    <w:tmpl w:val="217E1A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254142"/>
    <w:multiLevelType w:val="hybridMultilevel"/>
    <w:tmpl w:val="E1D2EA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07D9AE"/>
    <w:multiLevelType w:val="hybridMultilevel"/>
    <w:tmpl w:val="B6BEDA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31121B"/>
    <w:multiLevelType w:val="hybridMultilevel"/>
    <w:tmpl w:val="D4EF2F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37F44C"/>
    <w:multiLevelType w:val="hybridMultilevel"/>
    <w:tmpl w:val="558CEF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493125"/>
    <w:multiLevelType w:val="hybridMultilevel"/>
    <w:tmpl w:val="362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B569C"/>
    <w:multiLevelType w:val="hybridMultilevel"/>
    <w:tmpl w:val="D4C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64B16"/>
    <w:multiLevelType w:val="hybridMultilevel"/>
    <w:tmpl w:val="87F9143B"/>
    <w:lvl w:ilvl="0" w:tplc="FFFFFFFF">
      <w:start w:val="1"/>
      <w:numFmt w:val="bullet"/>
      <w:lvlText w:val="•"/>
      <w:lvlJc w:val="left"/>
    </w:lvl>
    <w:lvl w:ilvl="1" w:tplc="FFFFFFFF">
      <w:start w:val="1"/>
      <w:numFmt w:val="ideographDigital"/>
      <w:lvlText w:val="•"/>
      <w:lvlJc w:val="left"/>
    </w:lvl>
    <w:lvl w:ilvl="2" w:tplc="405FA95C">
      <w:start w:val="1"/>
      <w:numFmt w:val="bullet"/>
      <w:lvlText w:val="•"/>
      <w:lvlJc w:val="left"/>
    </w:lvl>
    <w:lvl w:ilvl="3" w:tplc="53C0AA28">
      <w:start w:val="1"/>
      <w:numFmt w:val="bullet"/>
      <w:lvlText w:val="•"/>
      <w:lvlJc w:val="left"/>
    </w:lvl>
    <w:lvl w:ilvl="4" w:tplc="983FAF90">
      <w:start w:val="1"/>
      <w:numFmt w:val="bullet"/>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0535B5B"/>
    <w:multiLevelType w:val="hybridMultilevel"/>
    <w:tmpl w:val="899149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8B3688"/>
    <w:multiLevelType w:val="hybridMultilevel"/>
    <w:tmpl w:val="25DCC9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E0373EC"/>
    <w:multiLevelType w:val="hybridMultilevel"/>
    <w:tmpl w:val="10BC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4F956B0"/>
    <w:multiLevelType w:val="hybridMultilevel"/>
    <w:tmpl w:val="E8F2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5"/>
  </w:num>
  <w:num w:numId="5">
    <w:abstractNumId w:val="10"/>
  </w:num>
  <w:num w:numId="6">
    <w:abstractNumId w:val="1"/>
  </w:num>
  <w:num w:numId="7">
    <w:abstractNumId w:val="13"/>
  </w:num>
  <w:num w:numId="8">
    <w:abstractNumId w:val="14"/>
  </w:num>
  <w:num w:numId="9">
    <w:abstractNumId w:val="0"/>
  </w:num>
  <w:num w:numId="10">
    <w:abstractNumId w:val="3"/>
  </w:num>
  <w:num w:numId="11">
    <w:abstractNumId w:val="2"/>
  </w:num>
  <w:num w:numId="12">
    <w:abstractNumId w:val="4"/>
  </w:num>
  <w:num w:numId="13">
    <w:abstractNumId w:val="17"/>
  </w:num>
  <w:num w:numId="14">
    <w:abstractNumId w:val="9"/>
  </w:num>
  <w:num w:numId="15">
    <w:abstractNumId w:val="7"/>
  </w:num>
  <w:num w:numId="16">
    <w:abstractNumId w:val="15"/>
  </w:num>
  <w:num w:numId="17">
    <w:abstractNumId w:val="16"/>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3E"/>
    <w:rsid w:val="00001CF2"/>
    <w:rsid w:val="0000247B"/>
    <w:rsid w:val="000039C3"/>
    <w:rsid w:val="0000469B"/>
    <w:rsid w:val="00017AAE"/>
    <w:rsid w:val="00022F47"/>
    <w:rsid w:val="00023F4C"/>
    <w:rsid w:val="00035FF3"/>
    <w:rsid w:val="00045EDB"/>
    <w:rsid w:val="00051021"/>
    <w:rsid w:val="00051ED9"/>
    <w:rsid w:val="00057181"/>
    <w:rsid w:val="0006473A"/>
    <w:rsid w:val="00064B2D"/>
    <w:rsid w:val="00065F1F"/>
    <w:rsid w:val="00072A20"/>
    <w:rsid w:val="00076D33"/>
    <w:rsid w:val="00081DDB"/>
    <w:rsid w:val="00087A16"/>
    <w:rsid w:val="00092CDA"/>
    <w:rsid w:val="000A27E9"/>
    <w:rsid w:val="000A3D8B"/>
    <w:rsid w:val="000A5DF8"/>
    <w:rsid w:val="000B080F"/>
    <w:rsid w:val="000B19B3"/>
    <w:rsid w:val="000B26E5"/>
    <w:rsid w:val="000B6AF2"/>
    <w:rsid w:val="000B7331"/>
    <w:rsid w:val="000D6FD4"/>
    <w:rsid w:val="000E0AE4"/>
    <w:rsid w:val="000E2914"/>
    <w:rsid w:val="000E3DBC"/>
    <w:rsid w:val="000E41E9"/>
    <w:rsid w:val="000E7E83"/>
    <w:rsid w:val="000F4F5C"/>
    <w:rsid w:val="000F58D8"/>
    <w:rsid w:val="00102672"/>
    <w:rsid w:val="00113CE3"/>
    <w:rsid w:val="001166E9"/>
    <w:rsid w:val="0011702E"/>
    <w:rsid w:val="00117522"/>
    <w:rsid w:val="00121577"/>
    <w:rsid w:val="00122D35"/>
    <w:rsid w:val="00122F5A"/>
    <w:rsid w:val="001542D8"/>
    <w:rsid w:val="00173A89"/>
    <w:rsid w:val="00180C41"/>
    <w:rsid w:val="00182C4C"/>
    <w:rsid w:val="00184B5A"/>
    <w:rsid w:val="00187E1D"/>
    <w:rsid w:val="00197D8D"/>
    <w:rsid w:val="001A1A75"/>
    <w:rsid w:val="001A7E9A"/>
    <w:rsid w:val="001C27A3"/>
    <w:rsid w:val="001C5295"/>
    <w:rsid w:val="001D1FB4"/>
    <w:rsid w:val="001E09FA"/>
    <w:rsid w:val="001E1386"/>
    <w:rsid w:val="001E70F4"/>
    <w:rsid w:val="00203540"/>
    <w:rsid w:val="0021612B"/>
    <w:rsid w:val="00217B90"/>
    <w:rsid w:val="0022083A"/>
    <w:rsid w:val="00221136"/>
    <w:rsid w:val="002212D2"/>
    <w:rsid w:val="00221D07"/>
    <w:rsid w:val="00227018"/>
    <w:rsid w:val="00227E4A"/>
    <w:rsid w:val="0023678E"/>
    <w:rsid w:val="002440DB"/>
    <w:rsid w:val="0024582E"/>
    <w:rsid w:val="00245C56"/>
    <w:rsid w:val="00251E36"/>
    <w:rsid w:val="002547EF"/>
    <w:rsid w:val="00256D65"/>
    <w:rsid w:val="00271F00"/>
    <w:rsid w:val="00273A80"/>
    <w:rsid w:val="002839C4"/>
    <w:rsid w:val="0029204E"/>
    <w:rsid w:val="0029631C"/>
    <w:rsid w:val="002A0194"/>
    <w:rsid w:val="002A3314"/>
    <w:rsid w:val="002A5066"/>
    <w:rsid w:val="002A5F8B"/>
    <w:rsid w:val="002A7F6C"/>
    <w:rsid w:val="002B127B"/>
    <w:rsid w:val="002D6809"/>
    <w:rsid w:val="002F6488"/>
    <w:rsid w:val="00306ECD"/>
    <w:rsid w:val="00320839"/>
    <w:rsid w:val="003213F9"/>
    <w:rsid w:val="00323DBF"/>
    <w:rsid w:val="00326D85"/>
    <w:rsid w:val="003309A8"/>
    <w:rsid w:val="00332B12"/>
    <w:rsid w:val="00351B07"/>
    <w:rsid w:val="00352CF2"/>
    <w:rsid w:val="0036228B"/>
    <w:rsid w:val="00364841"/>
    <w:rsid w:val="00371B29"/>
    <w:rsid w:val="00373C99"/>
    <w:rsid w:val="0037656B"/>
    <w:rsid w:val="00391769"/>
    <w:rsid w:val="003953E1"/>
    <w:rsid w:val="003956B3"/>
    <w:rsid w:val="003A60E7"/>
    <w:rsid w:val="003A68BE"/>
    <w:rsid w:val="003A70DB"/>
    <w:rsid w:val="003B1805"/>
    <w:rsid w:val="003B2D8F"/>
    <w:rsid w:val="003B3C9D"/>
    <w:rsid w:val="003B7141"/>
    <w:rsid w:val="003B78E0"/>
    <w:rsid w:val="003C4969"/>
    <w:rsid w:val="003E41D5"/>
    <w:rsid w:val="003E46BA"/>
    <w:rsid w:val="003E7D22"/>
    <w:rsid w:val="003F74C1"/>
    <w:rsid w:val="004030D0"/>
    <w:rsid w:val="00405B1A"/>
    <w:rsid w:val="00410C76"/>
    <w:rsid w:val="00411907"/>
    <w:rsid w:val="00411BF8"/>
    <w:rsid w:val="00413CA8"/>
    <w:rsid w:val="00417EE3"/>
    <w:rsid w:val="004207EB"/>
    <w:rsid w:val="00422171"/>
    <w:rsid w:val="004242AA"/>
    <w:rsid w:val="00431724"/>
    <w:rsid w:val="00437276"/>
    <w:rsid w:val="00447769"/>
    <w:rsid w:val="00452725"/>
    <w:rsid w:val="00456B54"/>
    <w:rsid w:val="00464643"/>
    <w:rsid w:val="004814C1"/>
    <w:rsid w:val="00484654"/>
    <w:rsid w:val="00486793"/>
    <w:rsid w:val="004A0B27"/>
    <w:rsid w:val="004A2037"/>
    <w:rsid w:val="004B4D33"/>
    <w:rsid w:val="004C2CE7"/>
    <w:rsid w:val="004C5FAD"/>
    <w:rsid w:val="004D5F27"/>
    <w:rsid w:val="004F0A5F"/>
    <w:rsid w:val="004F41B7"/>
    <w:rsid w:val="004F4F98"/>
    <w:rsid w:val="004F69F6"/>
    <w:rsid w:val="004F6C27"/>
    <w:rsid w:val="004F79AC"/>
    <w:rsid w:val="004F7DD3"/>
    <w:rsid w:val="005017CF"/>
    <w:rsid w:val="00505D44"/>
    <w:rsid w:val="005207D8"/>
    <w:rsid w:val="0053464E"/>
    <w:rsid w:val="0054272D"/>
    <w:rsid w:val="00543B05"/>
    <w:rsid w:val="00545EAA"/>
    <w:rsid w:val="00562917"/>
    <w:rsid w:val="005640F3"/>
    <w:rsid w:val="005723F7"/>
    <w:rsid w:val="00574435"/>
    <w:rsid w:val="0057615C"/>
    <w:rsid w:val="00584CB0"/>
    <w:rsid w:val="00586228"/>
    <w:rsid w:val="00587683"/>
    <w:rsid w:val="005A0A3E"/>
    <w:rsid w:val="005A1D97"/>
    <w:rsid w:val="005A58F3"/>
    <w:rsid w:val="005B6AF4"/>
    <w:rsid w:val="005B7A73"/>
    <w:rsid w:val="005C04CB"/>
    <w:rsid w:val="005C1741"/>
    <w:rsid w:val="005D16AD"/>
    <w:rsid w:val="005D2535"/>
    <w:rsid w:val="005D72E1"/>
    <w:rsid w:val="005E3906"/>
    <w:rsid w:val="005E6E16"/>
    <w:rsid w:val="005E71C7"/>
    <w:rsid w:val="005F400E"/>
    <w:rsid w:val="005F7342"/>
    <w:rsid w:val="00603A08"/>
    <w:rsid w:val="00606D9E"/>
    <w:rsid w:val="00610A3C"/>
    <w:rsid w:val="00627F48"/>
    <w:rsid w:val="00630C23"/>
    <w:rsid w:val="00635B49"/>
    <w:rsid w:val="006412F1"/>
    <w:rsid w:val="006460AB"/>
    <w:rsid w:val="00652CE4"/>
    <w:rsid w:val="00654572"/>
    <w:rsid w:val="006577E0"/>
    <w:rsid w:val="00663FCF"/>
    <w:rsid w:val="006652A2"/>
    <w:rsid w:val="006717DC"/>
    <w:rsid w:val="0067206D"/>
    <w:rsid w:val="00690206"/>
    <w:rsid w:val="006937FF"/>
    <w:rsid w:val="006A48A7"/>
    <w:rsid w:val="006B2AFF"/>
    <w:rsid w:val="006B4240"/>
    <w:rsid w:val="006B448D"/>
    <w:rsid w:val="006B492A"/>
    <w:rsid w:val="006B4BA1"/>
    <w:rsid w:val="006B50AF"/>
    <w:rsid w:val="006B5EBE"/>
    <w:rsid w:val="006C3825"/>
    <w:rsid w:val="006C5269"/>
    <w:rsid w:val="006C5CF5"/>
    <w:rsid w:val="006D4D96"/>
    <w:rsid w:val="006E0980"/>
    <w:rsid w:val="006E5F2E"/>
    <w:rsid w:val="006F4A82"/>
    <w:rsid w:val="0070373B"/>
    <w:rsid w:val="00703F71"/>
    <w:rsid w:val="00724FA4"/>
    <w:rsid w:val="00730800"/>
    <w:rsid w:val="00742FD5"/>
    <w:rsid w:val="00745DF4"/>
    <w:rsid w:val="007602AA"/>
    <w:rsid w:val="00764713"/>
    <w:rsid w:val="00764BFD"/>
    <w:rsid w:val="007652EF"/>
    <w:rsid w:val="00772BDC"/>
    <w:rsid w:val="007735CA"/>
    <w:rsid w:val="00780792"/>
    <w:rsid w:val="00795669"/>
    <w:rsid w:val="00796562"/>
    <w:rsid w:val="007A44B4"/>
    <w:rsid w:val="007A7D3D"/>
    <w:rsid w:val="007B225D"/>
    <w:rsid w:val="007B47A0"/>
    <w:rsid w:val="007B77F9"/>
    <w:rsid w:val="007C13C5"/>
    <w:rsid w:val="007C174F"/>
    <w:rsid w:val="007C1C64"/>
    <w:rsid w:val="007C1E60"/>
    <w:rsid w:val="007C6CB9"/>
    <w:rsid w:val="007D03EA"/>
    <w:rsid w:val="007E48BC"/>
    <w:rsid w:val="007E59E0"/>
    <w:rsid w:val="007E79F7"/>
    <w:rsid w:val="007F3630"/>
    <w:rsid w:val="008050A0"/>
    <w:rsid w:val="00807559"/>
    <w:rsid w:val="00813FB2"/>
    <w:rsid w:val="0082732B"/>
    <w:rsid w:val="008450BC"/>
    <w:rsid w:val="0085334B"/>
    <w:rsid w:val="008611C2"/>
    <w:rsid w:val="00865A53"/>
    <w:rsid w:val="00870214"/>
    <w:rsid w:val="008711A3"/>
    <w:rsid w:val="00884F8F"/>
    <w:rsid w:val="00885C51"/>
    <w:rsid w:val="00885EB0"/>
    <w:rsid w:val="00891F4B"/>
    <w:rsid w:val="0089264A"/>
    <w:rsid w:val="00895A49"/>
    <w:rsid w:val="00896B85"/>
    <w:rsid w:val="008978E6"/>
    <w:rsid w:val="00897EB5"/>
    <w:rsid w:val="008A22BE"/>
    <w:rsid w:val="008A4013"/>
    <w:rsid w:val="008C1B36"/>
    <w:rsid w:val="008D06C6"/>
    <w:rsid w:val="008E3BE0"/>
    <w:rsid w:val="008E6250"/>
    <w:rsid w:val="008F4ABA"/>
    <w:rsid w:val="008F60A0"/>
    <w:rsid w:val="009000D0"/>
    <w:rsid w:val="00902AF6"/>
    <w:rsid w:val="00920249"/>
    <w:rsid w:val="00924C80"/>
    <w:rsid w:val="00932F14"/>
    <w:rsid w:val="00934683"/>
    <w:rsid w:val="00934ECA"/>
    <w:rsid w:val="0094247F"/>
    <w:rsid w:val="00942D60"/>
    <w:rsid w:val="00961833"/>
    <w:rsid w:val="0096508A"/>
    <w:rsid w:val="0096523B"/>
    <w:rsid w:val="00966EE3"/>
    <w:rsid w:val="00972D06"/>
    <w:rsid w:val="009836E1"/>
    <w:rsid w:val="00993A2C"/>
    <w:rsid w:val="009A3682"/>
    <w:rsid w:val="009A391C"/>
    <w:rsid w:val="009A50F2"/>
    <w:rsid w:val="009B377C"/>
    <w:rsid w:val="009C524F"/>
    <w:rsid w:val="009C5955"/>
    <w:rsid w:val="009D49D7"/>
    <w:rsid w:val="009E0A61"/>
    <w:rsid w:val="009E3010"/>
    <w:rsid w:val="009F007E"/>
    <w:rsid w:val="009F45D9"/>
    <w:rsid w:val="009F7065"/>
    <w:rsid w:val="00A03EF2"/>
    <w:rsid w:val="00A0589B"/>
    <w:rsid w:val="00A12141"/>
    <w:rsid w:val="00A13537"/>
    <w:rsid w:val="00A25C29"/>
    <w:rsid w:val="00A40237"/>
    <w:rsid w:val="00A4175D"/>
    <w:rsid w:val="00A502E6"/>
    <w:rsid w:val="00A52764"/>
    <w:rsid w:val="00A56DC7"/>
    <w:rsid w:val="00A6648C"/>
    <w:rsid w:val="00A67BDC"/>
    <w:rsid w:val="00A74FD1"/>
    <w:rsid w:val="00A75657"/>
    <w:rsid w:val="00A77BFA"/>
    <w:rsid w:val="00A84A58"/>
    <w:rsid w:val="00A96A47"/>
    <w:rsid w:val="00AA3D40"/>
    <w:rsid w:val="00AE32C9"/>
    <w:rsid w:val="00AE469B"/>
    <w:rsid w:val="00AF06FC"/>
    <w:rsid w:val="00AF3391"/>
    <w:rsid w:val="00AF387F"/>
    <w:rsid w:val="00AF7946"/>
    <w:rsid w:val="00B00E7F"/>
    <w:rsid w:val="00B06994"/>
    <w:rsid w:val="00B12F1E"/>
    <w:rsid w:val="00B173DA"/>
    <w:rsid w:val="00B21DCC"/>
    <w:rsid w:val="00B25F37"/>
    <w:rsid w:val="00B307BC"/>
    <w:rsid w:val="00B37BF0"/>
    <w:rsid w:val="00B44422"/>
    <w:rsid w:val="00B46EA0"/>
    <w:rsid w:val="00B60A5E"/>
    <w:rsid w:val="00B61E11"/>
    <w:rsid w:val="00B63374"/>
    <w:rsid w:val="00B731D3"/>
    <w:rsid w:val="00B839A3"/>
    <w:rsid w:val="00B87A27"/>
    <w:rsid w:val="00B902BD"/>
    <w:rsid w:val="00B93E11"/>
    <w:rsid w:val="00B94E2B"/>
    <w:rsid w:val="00B95963"/>
    <w:rsid w:val="00B95C1F"/>
    <w:rsid w:val="00BA24E2"/>
    <w:rsid w:val="00BB5553"/>
    <w:rsid w:val="00BC1815"/>
    <w:rsid w:val="00BD1B07"/>
    <w:rsid w:val="00BD2A39"/>
    <w:rsid w:val="00BD2E80"/>
    <w:rsid w:val="00BE11B8"/>
    <w:rsid w:val="00BE5F2A"/>
    <w:rsid w:val="00BF7FF0"/>
    <w:rsid w:val="00C01354"/>
    <w:rsid w:val="00C02E56"/>
    <w:rsid w:val="00C057F4"/>
    <w:rsid w:val="00C123E8"/>
    <w:rsid w:val="00C12502"/>
    <w:rsid w:val="00C33985"/>
    <w:rsid w:val="00C36578"/>
    <w:rsid w:val="00C40AA5"/>
    <w:rsid w:val="00C46F70"/>
    <w:rsid w:val="00C476D0"/>
    <w:rsid w:val="00C61AC1"/>
    <w:rsid w:val="00C76386"/>
    <w:rsid w:val="00C76F57"/>
    <w:rsid w:val="00C836E3"/>
    <w:rsid w:val="00C84066"/>
    <w:rsid w:val="00C86577"/>
    <w:rsid w:val="00C87185"/>
    <w:rsid w:val="00C90221"/>
    <w:rsid w:val="00C92E07"/>
    <w:rsid w:val="00C96868"/>
    <w:rsid w:val="00CA0416"/>
    <w:rsid w:val="00CA2516"/>
    <w:rsid w:val="00CA641D"/>
    <w:rsid w:val="00CC560B"/>
    <w:rsid w:val="00CC75E2"/>
    <w:rsid w:val="00CC7CD6"/>
    <w:rsid w:val="00CD46EB"/>
    <w:rsid w:val="00CD7EBF"/>
    <w:rsid w:val="00CE3140"/>
    <w:rsid w:val="00D056F1"/>
    <w:rsid w:val="00D11171"/>
    <w:rsid w:val="00D22F3C"/>
    <w:rsid w:val="00D2330E"/>
    <w:rsid w:val="00D23DB6"/>
    <w:rsid w:val="00D36071"/>
    <w:rsid w:val="00D43FE6"/>
    <w:rsid w:val="00D44D29"/>
    <w:rsid w:val="00D46448"/>
    <w:rsid w:val="00D51A95"/>
    <w:rsid w:val="00D60568"/>
    <w:rsid w:val="00D70C7A"/>
    <w:rsid w:val="00D80958"/>
    <w:rsid w:val="00D81D38"/>
    <w:rsid w:val="00D85332"/>
    <w:rsid w:val="00D9620E"/>
    <w:rsid w:val="00DA0D0C"/>
    <w:rsid w:val="00DA10A8"/>
    <w:rsid w:val="00DB1E08"/>
    <w:rsid w:val="00DB2973"/>
    <w:rsid w:val="00DC1B56"/>
    <w:rsid w:val="00DC2129"/>
    <w:rsid w:val="00DC6570"/>
    <w:rsid w:val="00DD3C5E"/>
    <w:rsid w:val="00DD60C8"/>
    <w:rsid w:val="00DE51CD"/>
    <w:rsid w:val="00DF25C3"/>
    <w:rsid w:val="00E04062"/>
    <w:rsid w:val="00E063C6"/>
    <w:rsid w:val="00E066BA"/>
    <w:rsid w:val="00E2003B"/>
    <w:rsid w:val="00E203C2"/>
    <w:rsid w:val="00E211E4"/>
    <w:rsid w:val="00E266D6"/>
    <w:rsid w:val="00E279D8"/>
    <w:rsid w:val="00E319B1"/>
    <w:rsid w:val="00E44E0D"/>
    <w:rsid w:val="00E4666B"/>
    <w:rsid w:val="00E5492F"/>
    <w:rsid w:val="00E602A9"/>
    <w:rsid w:val="00E62DEF"/>
    <w:rsid w:val="00E70A86"/>
    <w:rsid w:val="00E75A9D"/>
    <w:rsid w:val="00E777EC"/>
    <w:rsid w:val="00E80FCD"/>
    <w:rsid w:val="00E90F63"/>
    <w:rsid w:val="00EA38FE"/>
    <w:rsid w:val="00EA7F2F"/>
    <w:rsid w:val="00EB3A06"/>
    <w:rsid w:val="00EC00DE"/>
    <w:rsid w:val="00EC30E1"/>
    <w:rsid w:val="00EC6171"/>
    <w:rsid w:val="00ED172A"/>
    <w:rsid w:val="00EF5388"/>
    <w:rsid w:val="00F00CC7"/>
    <w:rsid w:val="00F07D25"/>
    <w:rsid w:val="00F11F6C"/>
    <w:rsid w:val="00F142D4"/>
    <w:rsid w:val="00F14BEC"/>
    <w:rsid w:val="00F225C5"/>
    <w:rsid w:val="00F2541C"/>
    <w:rsid w:val="00F2587A"/>
    <w:rsid w:val="00F3715D"/>
    <w:rsid w:val="00F3737F"/>
    <w:rsid w:val="00F420C8"/>
    <w:rsid w:val="00F42A4C"/>
    <w:rsid w:val="00F604DE"/>
    <w:rsid w:val="00F658A6"/>
    <w:rsid w:val="00F77087"/>
    <w:rsid w:val="00F8305E"/>
    <w:rsid w:val="00FA01B2"/>
    <w:rsid w:val="00FA5BEA"/>
    <w:rsid w:val="00FB0644"/>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2CE2323"/>
  <w15:docId w15:val="{B8E4B66B-9FDC-4DCD-B5A6-0AD78C0F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7B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44D29"/>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1D1FB4"/>
    <w:rPr>
      <w:b/>
      <w:bCs/>
    </w:rPr>
  </w:style>
  <w:style w:type="character" w:customStyle="1" w:styleId="CommentSubjectChar">
    <w:name w:val="Comment Subject Char"/>
    <w:basedOn w:val="CommentTextChar"/>
    <w:link w:val="CommentSubject"/>
    <w:semiHidden/>
    <w:rsid w:val="001D1FB4"/>
    <w:rPr>
      <w:rFonts w:ascii="Arial" w:hAnsi="Arial"/>
      <w:b/>
      <w:bCs/>
      <w:lang w:eastAsia="en-US" w:bidi="en-US"/>
    </w:rPr>
  </w:style>
  <w:style w:type="character" w:customStyle="1" w:styleId="FootnoteTextChar">
    <w:name w:val="Footnote Text Char"/>
    <w:aliases w:val="Footnotes Text Char,FSFootnotes Text Char,FSFootnote Text Char"/>
    <w:basedOn w:val="DefaultParagraphFont"/>
    <w:link w:val="FootnoteText"/>
    <w:rsid w:val="001D1FB4"/>
    <w:rPr>
      <w:rFonts w:ascii="Arial" w:hAnsi="Arial"/>
      <w:lang w:eastAsia="en-US" w:bidi="en-US"/>
    </w:rPr>
  </w:style>
  <w:style w:type="table" w:customStyle="1" w:styleId="TableGrid2">
    <w:name w:val="Table Grid2"/>
    <w:basedOn w:val="TableNormal"/>
    <w:next w:val="TableGrid"/>
    <w:uiPriority w:val="59"/>
    <w:rsid w:val="001D1FB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D1FB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D1FB4"/>
    <w:pPr>
      <w:ind w:left="720"/>
      <w:contextualSpacing/>
    </w:pPr>
  </w:style>
  <w:style w:type="character" w:customStyle="1" w:styleId="ref-title">
    <w:name w:val="ref-title"/>
    <w:basedOn w:val="DefaultParagraphFont"/>
    <w:rsid w:val="001D1FB4"/>
  </w:style>
  <w:style w:type="character" w:customStyle="1" w:styleId="ref-journal">
    <w:name w:val="ref-journal"/>
    <w:basedOn w:val="DefaultParagraphFont"/>
    <w:rsid w:val="001D1FB4"/>
  </w:style>
  <w:style w:type="character" w:customStyle="1" w:styleId="ref-vol">
    <w:name w:val="ref-vol"/>
    <w:basedOn w:val="DefaultParagraphFont"/>
    <w:rsid w:val="001D1FB4"/>
  </w:style>
  <w:style w:type="paragraph" w:styleId="Revision">
    <w:name w:val="Revision"/>
    <w:hidden/>
    <w:uiPriority w:val="99"/>
    <w:semiHidden/>
    <w:rsid w:val="001D1FB4"/>
    <w:rPr>
      <w:rFonts w:ascii="Arial" w:hAnsi="Arial"/>
      <w:sz w:val="22"/>
      <w:szCs w:val="24"/>
      <w:lang w:eastAsia="en-US" w:bidi="en-US"/>
    </w:rPr>
  </w:style>
  <w:style w:type="numbering" w:customStyle="1" w:styleId="NoList1">
    <w:name w:val="No List1"/>
    <w:next w:val="NoList"/>
    <w:uiPriority w:val="99"/>
    <w:semiHidden/>
    <w:unhideWhenUsed/>
    <w:rsid w:val="001D1FB4"/>
  </w:style>
  <w:style w:type="table" w:customStyle="1" w:styleId="TableGrid1">
    <w:name w:val="Table Grid1"/>
    <w:basedOn w:val="TableNormal"/>
    <w:next w:val="TableGrid"/>
    <w:rsid w:val="001D1F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1D1FB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21">
    <w:name w:val="Table Grid21"/>
    <w:basedOn w:val="TableNormal"/>
    <w:next w:val="TableGrid"/>
    <w:uiPriority w:val="59"/>
    <w:rsid w:val="001D1FB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1FB4"/>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D44"/>
    <w:pPr>
      <w:autoSpaceDE w:val="0"/>
      <w:autoSpaceDN w:val="0"/>
      <w:adjustRightInd w:val="0"/>
    </w:pPr>
    <w:rPr>
      <w:rFonts w:ascii="Segoe UI" w:hAnsi="Segoe UI" w:cs="Segoe UI"/>
      <w:color w:val="000000"/>
      <w:sz w:val="24"/>
      <w:szCs w:val="24"/>
    </w:rPr>
  </w:style>
  <w:style w:type="paragraph" w:customStyle="1" w:styleId="FSTableFigureHeading">
    <w:name w:val="FSTable/Figure Heading"/>
    <w:basedOn w:val="Normal"/>
    <w:uiPriority w:val="7"/>
    <w:qFormat/>
    <w:locked/>
    <w:rsid w:val="00543B05"/>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543B05"/>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table" w:customStyle="1" w:styleId="TableClassic42">
    <w:name w:val="Table Classic 42"/>
    <w:basedOn w:val="TableNormal"/>
    <w:rsid w:val="001E70F4"/>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erEPHFF-4032022-124044PM">
    <w:name w:val="HeaderEPHFF-4032022-124044 PM"/>
    <w:rsid w:val="00C90221"/>
    <w:pPr>
      <w:tabs>
        <w:tab w:val="num" w:pos="720"/>
      </w:tabs>
      <w:ind w:left="1134" w:hanging="567"/>
    </w:pPr>
    <w:rPr>
      <w:rFonts w:ascii="Arial" w:eastAsia="Calibri" w:hAnsi="Arial"/>
      <w:sz w:val="22"/>
      <w:szCs w:val="22"/>
      <w:lang w:eastAsia="en-US"/>
    </w:rPr>
  </w:style>
  <w:style w:type="paragraph" w:customStyle="1" w:styleId="HeaderEPHFF-7032022-42226PM">
    <w:name w:val="HeaderEPHFF-7032022-42226 PM"/>
    <w:rsid w:val="00411BF8"/>
    <w:pPr>
      <w:widowControl w:val="0"/>
      <w:spacing w:before="120" w:after="120" w:line="259" w:lineRule="auto"/>
    </w:pPr>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llergenonline.or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ubmb.qmul.ac.uk/enzyme/EC3/4/21/65.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fao.org/docrep/009/a0691e/A0691E03.htm"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nline.org/" TargetMode="External"/><Relationship Id="rId2" Type="http://schemas.openxmlformats.org/officeDocument/2006/relationships/hyperlink" Target="https://www.uniprot.org/blast/" TargetMode="External"/><Relationship Id="rId1" Type="http://schemas.openxmlformats.org/officeDocument/2006/relationships/hyperlink" Target="https://blast.ncbi.nlm.nih.gov/" TargetMode="External"/><Relationship Id="rId4" Type="http://schemas.openxmlformats.org/officeDocument/2006/relationships/hyperlink" Target="http://www.allerge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A53F-440D-40A7-8FA9-74D01E930D88}"/>
</file>

<file path=customXml/itemProps2.xml><?xml version="1.0" encoding="utf-8"?>
<ds:datastoreItem xmlns:ds="http://schemas.openxmlformats.org/officeDocument/2006/customXml" ds:itemID="{876BFCE7-8D96-4DB6-BA53-768F9879A3E2}"/>
</file>

<file path=customXml/itemProps3.xml><?xml version="1.0" encoding="utf-8"?>
<ds:datastoreItem xmlns:ds="http://schemas.openxmlformats.org/officeDocument/2006/customXml" ds:itemID="{EF25CF63-B863-410E-868E-043DFD084C1F}"/>
</file>

<file path=customXml/itemProps4.xml><?xml version="1.0" encoding="utf-8"?>
<ds:datastoreItem xmlns:ds="http://schemas.openxmlformats.org/officeDocument/2006/customXml" ds:itemID="{27365B9F-26AE-4D04-82A4-F5F053583C1E}">
  <ds:schemaRefs>
    <ds:schemaRef ds:uri="http://schemas.microsoft.com/sharepoint/events"/>
  </ds:schemaRefs>
</ds:datastoreItem>
</file>

<file path=customXml/itemProps5.xml><?xml version="1.0" encoding="utf-8"?>
<ds:datastoreItem xmlns:ds="http://schemas.openxmlformats.org/officeDocument/2006/customXml" ds:itemID="{C2EAB5D7-365E-4C6D-8BA0-F6513EFFC2CC}">
  <ds:schemaRefs>
    <ds:schemaRef ds:uri="Microsoft.SharePoint.Taxonomy.ContentTypeSync"/>
  </ds:schemaRefs>
</ds:datastoreItem>
</file>

<file path=customXml/itemProps6.xml><?xml version="1.0" encoding="utf-8"?>
<ds:datastoreItem xmlns:ds="http://schemas.openxmlformats.org/officeDocument/2006/customXml" ds:itemID="{BED680A8-1713-4B08-A47A-861454177A07}"/>
</file>

<file path=customXml/itemProps7.xml><?xml version="1.0" encoding="utf-8"?>
<ds:datastoreItem xmlns:ds="http://schemas.openxmlformats.org/officeDocument/2006/customXml" ds:itemID="{90C35480-7F7C-45B7-8027-170B93EFE259}"/>
</file>

<file path=docProps/app.xml><?xml version="1.0" encoding="utf-8"?>
<Properties xmlns="http://schemas.openxmlformats.org/officeDocument/2006/extended-properties" xmlns:vt="http://schemas.openxmlformats.org/officeDocument/2006/docPropsVTypes">
  <Template>Report - Supporting document</Template>
  <TotalTime>0</TotalTime>
  <Pages>15</Pages>
  <Words>5399</Words>
  <Characters>30779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36106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sutheb</dc:creator>
  <cp:keywords/>
  <dc:description/>
  <cp:lastModifiedBy>Tailee Vecchi</cp:lastModifiedBy>
  <cp:revision>2</cp:revision>
  <cp:lastPrinted>2022-04-08T01:50:00Z</cp:lastPrinted>
  <dcterms:created xsi:type="dcterms:W3CDTF">2022-04-26T00:32:00Z</dcterms:created>
  <dcterms:modified xsi:type="dcterms:W3CDTF">2022-04-26T00:32:00Z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851ec424-6404-46a9-abe1-cd444ae213c6</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1b253ee1-52a0-4473-8fbc-993b9aa1e772</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